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val="en-US" w:eastAsia="zh-CN"/>
        </w:rPr>
      </w:pPr>
      <w:r>
        <w:rPr>
          <w:rFonts w:hint="eastAsia"/>
          <w:sz w:val="44"/>
          <w:szCs w:val="44"/>
          <w:lang w:val="en-US" w:eastAsia="zh-CN"/>
        </w:rPr>
        <w:t>统一用户管理操作说明</w:t>
      </w:r>
    </w:p>
    <w:p>
      <w:pPr>
        <w:pStyle w:val="2"/>
        <w:numPr>
          <w:ilvl w:val="0"/>
          <w:numId w:val="1"/>
        </w:numPr>
        <w:bidi w:val="0"/>
        <w:rPr>
          <w:rFonts w:hint="eastAsia"/>
          <w:lang w:val="en-US" w:eastAsia="zh-CN"/>
        </w:rPr>
      </w:pPr>
      <w:r>
        <w:rPr>
          <w:rFonts w:hint="eastAsia"/>
          <w:lang w:val="en-US" w:eastAsia="zh-CN"/>
        </w:rPr>
        <w:t>用户访问</w:t>
      </w:r>
    </w:p>
    <w:p>
      <w:pPr>
        <w:pStyle w:val="5"/>
        <w:bidi w:val="0"/>
        <w:rPr>
          <w:rFonts w:hint="default"/>
          <w:lang w:val="en-US" w:eastAsia="zh-CN"/>
        </w:rPr>
      </w:pPr>
      <w:r>
        <w:rPr>
          <w:rFonts w:hint="eastAsia"/>
          <w:lang w:val="en-US" w:eastAsia="zh-CN"/>
        </w:rPr>
        <w:t>用户打开https://code.nhsa.gov.cn/国家医保局医疗保障信息业务编码标准数据库动态维护系统网站（以下简称动态维护系统）（如图1-1）。</w:t>
      </w:r>
    </w:p>
    <w:p>
      <w:pPr>
        <w:widowControl w:val="0"/>
        <w:numPr>
          <w:ilvl w:val="0"/>
          <w:numId w:val="0"/>
        </w:numPr>
        <w:spacing w:line="360" w:lineRule="auto"/>
        <w:jc w:val="both"/>
      </w:pPr>
      <w:r>
        <w:drawing>
          <wp:inline distT="0" distB="0" distL="114300" distR="114300">
            <wp:extent cx="5273675" cy="418782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5273675" cy="4187825"/>
                    </a:xfrm>
                    <a:prstGeom prst="rect">
                      <a:avLst/>
                    </a:prstGeom>
                    <a:noFill/>
                    <a:ln>
                      <a:noFill/>
                    </a:ln>
                  </pic:spPr>
                </pic:pic>
              </a:graphicData>
            </a:graphic>
          </wp:inline>
        </w:drawing>
      </w:r>
    </w:p>
    <w:p>
      <w:pPr>
        <w:widowControl w:val="0"/>
        <w:numPr>
          <w:ilvl w:val="0"/>
          <w:numId w:val="0"/>
        </w:numPr>
        <w:spacing w:line="360" w:lineRule="auto"/>
        <w:jc w:val="center"/>
        <w:rPr>
          <w:rFonts w:hint="eastAsia"/>
          <w:lang w:val="en-US" w:eastAsia="zh-CN"/>
        </w:rPr>
      </w:pPr>
      <w:r>
        <w:rPr>
          <w:rFonts w:hint="eastAsia"/>
          <w:lang w:val="en-US" w:eastAsia="zh-CN"/>
        </w:rPr>
        <w:t>图1-1</w:t>
      </w:r>
    </w:p>
    <w:p>
      <w:pPr>
        <w:pStyle w:val="2"/>
        <w:numPr>
          <w:ilvl w:val="0"/>
          <w:numId w:val="1"/>
        </w:numPr>
        <w:bidi w:val="0"/>
        <w:rPr>
          <w:rFonts w:hint="eastAsia"/>
          <w:lang w:val="en-US" w:eastAsia="zh-CN"/>
        </w:rPr>
      </w:pPr>
      <w:r>
        <w:rPr>
          <w:rFonts w:hint="eastAsia"/>
          <w:lang w:val="en-US" w:eastAsia="zh-CN"/>
        </w:rPr>
        <w:t>用户注册</w:t>
      </w:r>
    </w:p>
    <w:p>
      <w:pPr>
        <w:pStyle w:val="5"/>
        <w:bidi w:val="0"/>
        <w:rPr>
          <w:rFonts w:hint="default"/>
          <w:lang w:val="en-US" w:eastAsia="zh-CN"/>
        </w:rPr>
      </w:pPr>
      <w:r>
        <w:rPr>
          <w:rFonts w:hint="eastAsia"/>
          <w:lang w:val="en-US" w:eastAsia="zh-CN"/>
        </w:rPr>
        <w:t>新用户注册分为手机app进行注册和动态维护系统注册两种方式（如图2-1）。手机APP注册时用户可通过切换“统一账号登录”方式在网站上下载APP应用程序（如图2-2）进行安装，安装完成后点击首页右下角“我的”菜单栏（如图2-3）进行操作。动态维护系统注册时用户通过点击登录页下方“立即注册”按钮（如图2-4）进行操作。注册需实名认证，用户请务必正确填写相应的个人信息。</w:t>
      </w:r>
    </w:p>
    <w:p>
      <w:pPr>
        <w:widowControl w:val="0"/>
        <w:numPr>
          <w:ilvl w:val="0"/>
          <w:numId w:val="0"/>
        </w:numPr>
        <w:spacing w:line="360" w:lineRule="auto"/>
        <w:jc w:val="center"/>
      </w:pPr>
      <w:r>
        <w:drawing>
          <wp:inline distT="0" distB="0" distL="114300" distR="114300">
            <wp:extent cx="2147570" cy="2954020"/>
            <wp:effectExtent l="0" t="0" r="508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2147570" cy="2954020"/>
                    </a:xfrm>
                    <a:prstGeom prst="rect">
                      <a:avLst/>
                    </a:prstGeom>
                    <a:noFill/>
                    <a:ln>
                      <a:noFill/>
                    </a:ln>
                  </pic:spPr>
                </pic:pic>
              </a:graphicData>
            </a:graphic>
          </wp:inline>
        </w:drawing>
      </w:r>
      <w:r>
        <w:drawing>
          <wp:inline distT="0" distB="0" distL="114300" distR="114300">
            <wp:extent cx="2072005" cy="2924175"/>
            <wp:effectExtent l="0" t="0" r="444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2072005" cy="2924175"/>
                    </a:xfrm>
                    <a:prstGeom prst="rect">
                      <a:avLst/>
                    </a:prstGeom>
                    <a:noFill/>
                    <a:ln>
                      <a:noFill/>
                    </a:ln>
                  </pic:spPr>
                </pic:pic>
              </a:graphicData>
            </a:graphic>
          </wp:inline>
        </w:drawing>
      </w:r>
    </w:p>
    <w:p>
      <w:pPr>
        <w:widowControl w:val="0"/>
        <w:numPr>
          <w:ilvl w:val="0"/>
          <w:numId w:val="0"/>
        </w:numPr>
        <w:spacing w:line="360" w:lineRule="auto"/>
        <w:jc w:val="center"/>
        <w:rPr>
          <w:rFonts w:hint="eastAsia"/>
          <w:lang w:val="en-US" w:eastAsia="zh-CN"/>
        </w:rPr>
      </w:pPr>
      <w:r>
        <w:rPr>
          <w:rFonts w:hint="eastAsia"/>
          <w:lang w:val="en-US" w:eastAsia="zh-CN"/>
        </w:rPr>
        <w:t>图2-1</w:t>
      </w:r>
    </w:p>
    <w:p>
      <w:pPr>
        <w:widowControl w:val="0"/>
        <w:numPr>
          <w:ilvl w:val="0"/>
          <w:numId w:val="0"/>
        </w:numPr>
        <w:spacing w:line="360" w:lineRule="auto"/>
        <w:jc w:val="center"/>
      </w:pPr>
      <w:r>
        <w:drawing>
          <wp:inline distT="0" distB="0" distL="114300" distR="114300">
            <wp:extent cx="2762250" cy="30765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a:stretch>
                      <a:fillRect/>
                    </a:stretch>
                  </pic:blipFill>
                  <pic:spPr>
                    <a:xfrm>
                      <a:off x="0" y="0"/>
                      <a:ext cx="2762250" cy="3076575"/>
                    </a:xfrm>
                    <a:prstGeom prst="rect">
                      <a:avLst/>
                    </a:prstGeom>
                    <a:noFill/>
                    <a:ln>
                      <a:noFill/>
                    </a:ln>
                  </pic:spPr>
                </pic:pic>
              </a:graphicData>
            </a:graphic>
          </wp:inline>
        </w:drawing>
      </w:r>
    </w:p>
    <w:p>
      <w:pPr>
        <w:widowControl w:val="0"/>
        <w:numPr>
          <w:ilvl w:val="0"/>
          <w:numId w:val="0"/>
        </w:numPr>
        <w:spacing w:line="360" w:lineRule="auto"/>
        <w:jc w:val="center"/>
        <w:rPr>
          <w:rFonts w:hint="eastAsia"/>
          <w:lang w:val="en-US" w:eastAsia="zh-CN"/>
        </w:rPr>
      </w:pPr>
      <w:r>
        <w:rPr>
          <w:rFonts w:hint="eastAsia"/>
          <w:lang w:val="en-US" w:eastAsia="zh-CN"/>
        </w:rPr>
        <w:t>图2-2</w:t>
      </w:r>
    </w:p>
    <w:p>
      <w:pPr>
        <w:widowControl w:val="0"/>
        <w:numPr>
          <w:ilvl w:val="0"/>
          <w:numId w:val="0"/>
        </w:numPr>
        <w:spacing w:line="360" w:lineRule="auto"/>
        <w:jc w:val="center"/>
      </w:pPr>
      <w:r>
        <w:drawing>
          <wp:inline distT="0" distB="0" distL="114300" distR="114300">
            <wp:extent cx="2370455" cy="3852545"/>
            <wp:effectExtent l="0" t="0" r="10795"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2370455" cy="3852545"/>
                    </a:xfrm>
                    <a:prstGeom prst="rect">
                      <a:avLst/>
                    </a:prstGeom>
                    <a:noFill/>
                    <a:ln>
                      <a:noFill/>
                    </a:ln>
                  </pic:spPr>
                </pic:pic>
              </a:graphicData>
            </a:graphic>
          </wp:inline>
        </w:drawing>
      </w:r>
    </w:p>
    <w:p>
      <w:pPr>
        <w:widowControl w:val="0"/>
        <w:numPr>
          <w:ilvl w:val="0"/>
          <w:numId w:val="0"/>
        </w:numPr>
        <w:spacing w:line="360" w:lineRule="auto"/>
        <w:jc w:val="center"/>
        <w:rPr>
          <w:rFonts w:hint="eastAsia"/>
          <w:lang w:val="en-US" w:eastAsia="zh-CN"/>
        </w:rPr>
      </w:pPr>
      <w:r>
        <w:rPr>
          <w:rFonts w:hint="eastAsia"/>
          <w:lang w:val="en-US" w:eastAsia="zh-CN"/>
        </w:rPr>
        <w:t>图2-3</w:t>
      </w:r>
    </w:p>
    <w:p>
      <w:pPr>
        <w:widowControl w:val="0"/>
        <w:numPr>
          <w:ilvl w:val="0"/>
          <w:numId w:val="0"/>
        </w:numPr>
        <w:spacing w:line="360" w:lineRule="auto"/>
        <w:jc w:val="center"/>
      </w:pPr>
      <w:r>
        <w:drawing>
          <wp:inline distT="0" distB="0" distL="114300" distR="114300">
            <wp:extent cx="2258060" cy="2825750"/>
            <wp:effectExtent l="0" t="0" r="889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2258060" cy="2825750"/>
                    </a:xfrm>
                    <a:prstGeom prst="rect">
                      <a:avLst/>
                    </a:prstGeom>
                    <a:noFill/>
                    <a:ln>
                      <a:noFill/>
                    </a:ln>
                  </pic:spPr>
                </pic:pic>
              </a:graphicData>
            </a:graphic>
          </wp:inline>
        </w:drawing>
      </w:r>
    </w:p>
    <w:p>
      <w:pPr>
        <w:widowControl w:val="0"/>
        <w:numPr>
          <w:ilvl w:val="0"/>
          <w:numId w:val="0"/>
        </w:numPr>
        <w:spacing w:line="360" w:lineRule="auto"/>
        <w:jc w:val="center"/>
        <w:rPr>
          <w:rFonts w:hint="default" w:eastAsia="仿宋"/>
          <w:lang w:val="en-US" w:eastAsia="zh-CN"/>
        </w:rPr>
      </w:pPr>
      <w:r>
        <w:rPr>
          <w:rFonts w:hint="eastAsia"/>
          <w:lang w:val="en-US" w:eastAsia="zh-CN"/>
        </w:rPr>
        <w:t>图2-4</w:t>
      </w:r>
    </w:p>
    <w:p>
      <w:pPr>
        <w:jc w:val="center"/>
      </w:pPr>
    </w:p>
    <w:p>
      <w:pPr>
        <w:pStyle w:val="2"/>
        <w:numPr>
          <w:ilvl w:val="0"/>
          <w:numId w:val="1"/>
        </w:numPr>
        <w:bidi w:val="0"/>
        <w:rPr>
          <w:rFonts w:hint="eastAsia"/>
          <w:lang w:val="en-US" w:eastAsia="zh-CN"/>
        </w:rPr>
      </w:pPr>
      <w:r>
        <w:rPr>
          <w:rFonts w:hint="eastAsia"/>
          <w:lang w:val="en-US" w:eastAsia="zh-CN"/>
        </w:rPr>
        <w:t>登录方式</w:t>
      </w:r>
    </w:p>
    <w:p>
      <w:pPr>
        <w:pStyle w:val="5"/>
        <w:bidi w:val="0"/>
        <w:rPr>
          <w:rFonts w:hint="default"/>
          <w:lang w:val="en-US" w:eastAsia="zh-CN"/>
        </w:rPr>
      </w:pPr>
      <w:r>
        <w:rPr>
          <w:rFonts w:hint="eastAsia"/>
          <w:lang w:val="en-US" w:eastAsia="zh-CN"/>
        </w:rPr>
        <w:t>点击相应的系统栏目进入到登录页面（如图3-1），登录方式分为“旧版用户登录”和“统一用户登录”两种方式。</w:t>
      </w:r>
    </w:p>
    <w:p>
      <w:pPr>
        <w:jc w:val="center"/>
      </w:pPr>
      <w:r>
        <w:drawing>
          <wp:inline distT="0" distB="0" distL="114300" distR="114300">
            <wp:extent cx="2667000" cy="2458720"/>
            <wp:effectExtent l="0" t="0" r="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2667000" cy="2458720"/>
                    </a:xfrm>
                    <a:prstGeom prst="rect">
                      <a:avLst/>
                    </a:prstGeom>
                    <a:noFill/>
                    <a:ln>
                      <a:noFill/>
                    </a:ln>
                  </pic:spPr>
                </pic:pic>
              </a:graphicData>
            </a:graphic>
          </wp:inline>
        </w:drawing>
      </w:r>
      <w:r>
        <w:drawing>
          <wp:inline distT="0" distB="0" distL="114300" distR="114300">
            <wp:extent cx="2496820" cy="2458720"/>
            <wp:effectExtent l="0" t="0" r="1778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2496820" cy="245872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图3-1</w:t>
      </w:r>
    </w:p>
    <w:p>
      <w:pPr>
        <w:pStyle w:val="2"/>
        <w:bidi w:val="0"/>
        <w:rPr>
          <w:rFonts w:hint="default"/>
          <w:lang w:val="en-US" w:eastAsia="zh-CN"/>
        </w:rPr>
      </w:pPr>
      <w:r>
        <w:rPr>
          <w:rFonts w:hint="eastAsia"/>
          <w:lang w:val="en-US" w:eastAsia="zh-CN"/>
        </w:rPr>
        <w:t>4、统一用户登录</w:t>
      </w:r>
    </w:p>
    <w:p>
      <w:pPr>
        <w:pStyle w:val="5"/>
        <w:bidi w:val="0"/>
        <w:rPr>
          <w:rFonts w:hint="eastAsia"/>
          <w:lang w:val="en-US" w:eastAsia="zh-CN"/>
        </w:rPr>
      </w:pPr>
      <w:r>
        <w:rPr>
          <w:rFonts w:hint="eastAsia"/>
          <w:lang w:val="en-US" w:eastAsia="zh-CN"/>
        </w:rPr>
        <w:t>“统一用户登录”分为“二维码登录”和“个人账号登录”两种方式（如图4-1）。“二维码登录”需使用手机APP进行扫码，扫码后系统将提示是否同意授权（如图4-2），用户需操作同意授权后方可进行下一步操作。“个人账号登录”通过输入在统一认证平台注册的用户账号和密码的方式进行登录。</w:t>
      </w:r>
    </w:p>
    <w:p>
      <w:pPr>
        <w:pStyle w:val="5"/>
        <w:bidi w:val="0"/>
      </w:pPr>
      <w:r>
        <w:drawing>
          <wp:inline distT="0" distB="0" distL="114300" distR="114300">
            <wp:extent cx="2397125" cy="3063240"/>
            <wp:effectExtent l="0" t="0" r="317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2397125" cy="3063240"/>
                    </a:xfrm>
                    <a:prstGeom prst="rect">
                      <a:avLst/>
                    </a:prstGeom>
                    <a:noFill/>
                    <a:ln>
                      <a:noFill/>
                    </a:ln>
                  </pic:spPr>
                </pic:pic>
              </a:graphicData>
            </a:graphic>
          </wp:inline>
        </w:drawing>
      </w:r>
      <w:r>
        <w:drawing>
          <wp:inline distT="0" distB="0" distL="114300" distR="114300">
            <wp:extent cx="2334260" cy="30619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334260" cy="3061970"/>
                    </a:xfrm>
                    <a:prstGeom prst="rect">
                      <a:avLst/>
                    </a:prstGeom>
                    <a:noFill/>
                    <a:ln>
                      <a:noFill/>
                    </a:ln>
                  </pic:spPr>
                </pic:pic>
              </a:graphicData>
            </a:graphic>
          </wp:inline>
        </w:drawing>
      </w:r>
    </w:p>
    <w:p>
      <w:pPr>
        <w:pStyle w:val="5"/>
        <w:bidi w:val="0"/>
        <w:jc w:val="center"/>
        <w:rPr>
          <w:rFonts w:hint="default"/>
          <w:lang w:val="en-US" w:eastAsia="zh-CN"/>
        </w:rPr>
      </w:pPr>
      <w:r>
        <w:rPr>
          <w:rFonts w:hint="eastAsia"/>
          <w:lang w:val="en-US" w:eastAsia="zh-CN"/>
        </w:rPr>
        <w:t>图4-1</w:t>
      </w:r>
    </w:p>
    <w:p>
      <w:pPr>
        <w:jc w:val="center"/>
      </w:pPr>
      <w:r>
        <w:drawing>
          <wp:inline distT="0" distB="0" distL="114300" distR="114300">
            <wp:extent cx="2118995" cy="2787650"/>
            <wp:effectExtent l="0" t="0" r="1460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2118995" cy="278765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图4-2</w:t>
      </w:r>
    </w:p>
    <w:p>
      <w:pPr>
        <w:jc w:val="center"/>
        <w:rPr>
          <w:rFonts w:hint="eastAsia"/>
          <w:lang w:val="en-US" w:eastAsia="zh-CN"/>
        </w:rPr>
      </w:pPr>
    </w:p>
    <w:p>
      <w:pPr>
        <w:pStyle w:val="5"/>
        <w:bidi w:val="0"/>
        <w:rPr>
          <w:rFonts w:hint="default"/>
          <w:lang w:val="en-US" w:eastAsia="zh-CN"/>
        </w:rPr>
      </w:pPr>
      <w:r>
        <w:rPr>
          <w:rFonts w:hint="eastAsia"/>
          <w:lang w:val="en-US" w:eastAsia="zh-CN"/>
        </w:rPr>
        <w:t>用户通过扫码方式进行统一用户登录授权成功后，系统将自动跳转到相应授权页面（如图4-3）。对于之前在动态维护系统中注册过的用户可通过“绑定已有授权”功能（如图4-4）进行绑定验证操作。之前未在动态维护系统中注册授权过的新用户可通过“添加新授权”功能（如图4-5）进行新用户授权操作。</w:t>
      </w:r>
    </w:p>
    <w:p>
      <w:r>
        <w:drawing>
          <wp:inline distT="0" distB="0" distL="114300" distR="114300">
            <wp:extent cx="5266690" cy="2011680"/>
            <wp:effectExtent l="0" t="0" r="1016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5266690" cy="2011680"/>
                    </a:xfrm>
                    <a:prstGeom prst="rect">
                      <a:avLst/>
                    </a:prstGeom>
                    <a:noFill/>
                    <a:ln>
                      <a:noFill/>
                    </a:ln>
                  </pic:spPr>
                </pic:pic>
              </a:graphicData>
            </a:graphic>
          </wp:inline>
        </w:drawing>
      </w:r>
    </w:p>
    <w:p>
      <w:pPr>
        <w:jc w:val="center"/>
        <w:rPr>
          <w:rFonts w:hint="default" w:eastAsia="仿宋"/>
          <w:lang w:val="en-US" w:eastAsia="zh-CN"/>
        </w:rPr>
      </w:pPr>
      <w:r>
        <w:rPr>
          <w:rFonts w:hint="eastAsia"/>
          <w:lang w:val="en-US" w:eastAsia="zh-CN"/>
        </w:rPr>
        <w:t>图4-3</w:t>
      </w:r>
    </w:p>
    <w:p>
      <w:r>
        <w:drawing>
          <wp:inline distT="0" distB="0" distL="114300" distR="114300">
            <wp:extent cx="5266690" cy="2011680"/>
            <wp:effectExtent l="0" t="0" r="1016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66690" cy="2011680"/>
                    </a:xfrm>
                    <a:prstGeom prst="rect">
                      <a:avLst/>
                    </a:prstGeom>
                    <a:noFill/>
                    <a:ln>
                      <a:noFill/>
                    </a:ln>
                  </pic:spPr>
                </pic:pic>
              </a:graphicData>
            </a:graphic>
          </wp:inline>
        </w:drawing>
      </w:r>
    </w:p>
    <w:p>
      <w:pPr>
        <w:jc w:val="center"/>
        <w:rPr>
          <w:rFonts w:hint="default" w:eastAsia="仿宋"/>
          <w:lang w:val="en-US" w:eastAsia="zh-CN"/>
        </w:rPr>
      </w:pPr>
      <w:r>
        <w:rPr>
          <w:rFonts w:hint="eastAsia"/>
          <w:lang w:val="en-US" w:eastAsia="zh-CN"/>
        </w:rPr>
        <w:t>图4-4</w:t>
      </w:r>
    </w:p>
    <w:p>
      <w:r>
        <w:drawing>
          <wp:inline distT="0" distB="0" distL="114300" distR="114300">
            <wp:extent cx="5269230" cy="19964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9230" cy="199644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图4-5</w:t>
      </w:r>
    </w:p>
    <w:p>
      <w:pPr>
        <w:pStyle w:val="5"/>
        <w:bidi w:val="0"/>
        <w:rPr>
          <w:rFonts w:hint="default"/>
          <w:lang w:val="en-US" w:eastAsia="zh-CN"/>
        </w:rPr>
      </w:pPr>
      <w:r>
        <w:rPr>
          <w:rFonts w:hint="eastAsia"/>
          <w:lang w:val="en-US" w:eastAsia="zh-CN"/>
        </w:rPr>
        <w:t>用户在操作绑定授权验证时需提供之前注册的账号和密码进行验证（如图4-6），验证通过后将会在用户授权列表页面绑定已验证通过的账号角色（如图4-7），用户绑定成功后再次登录系统时只需通过点击相应账号角色即可进行系统操作。</w:t>
      </w:r>
    </w:p>
    <w:p>
      <w:r>
        <w:drawing>
          <wp:inline distT="0" distB="0" distL="114300" distR="114300">
            <wp:extent cx="5267325" cy="2468245"/>
            <wp:effectExtent l="0" t="0" r="952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67325" cy="2468245"/>
                    </a:xfrm>
                    <a:prstGeom prst="rect">
                      <a:avLst/>
                    </a:prstGeom>
                    <a:noFill/>
                    <a:ln>
                      <a:noFill/>
                    </a:ln>
                  </pic:spPr>
                </pic:pic>
              </a:graphicData>
            </a:graphic>
          </wp:inline>
        </w:drawing>
      </w:r>
    </w:p>
    <w:p>
      <w:pPr>
        <w:jc w:val="center"/>
        <w:rPr>
          <w:rFonts w:hint="default" w:eastAsia="仿宋"/>
          <w:lang w:val="en-US" w:eastAsia="zh-CN"/>
        </w:rPr>
      </w:pPr>
      <w:r>
        <w:rPr>
          <w:rFonts w:hint="eastAsia"/>
          <w:lang w:val="en-US" w:eastAsia="zh-CN"/>
        </w:rPr>
        <w:t>图4-6</w:t>
      </w:r>
    </w:p>
    <w:p>
      <w:r>
        <w:drawing>
          <wp:inline distT="0" distB="0" distL="114300" distR="114300">
            <wp:extent cx="5269865" cy="2518410"/>
            <wp:effectExtent l="0" t="0" r="698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69865" cy="2518410"/>
                    </a:xfrm>
                    <a:prstGeom prst="rect">
                      <a:avLst/>
                    </a:prstGeom>
                    <a:noFill/>
                    <a:ln>
                      <a:noFill/>
                    </a:ln>
                  </pic:spPr>
                </pic:pic>
              </a:graphicData>
            </a:graphic>
          </wp:inline>
        </w:drawing>
      </w:r>
    </w:p>
    <w:p>
      <w:pPr>
        <w:jc w:val="center"/>
      </w:pPr>
      <w:r>
        <w:rPr>
          <w:rFonts w:hint="eastAsia"/>
          <w:lang w:val="en-US" w:eastAsia="zh-CN"/>
        </w:rPr>
        <w:t>图4-7</w:t>
      </w:r>
    </w:p>
    <w:p>
      <w:pPr>
        <w:pStyle w:val="5"/>
        <w:bidi w:val="0"/>
        <w:rPr>
          <w:rFonts w:hint="default"/>
          <w:lang w:val="en-US" w:eastAsia="zh-CN"/>
        </w:rPr>
      </w:pPr>
      <w:r>
        <w:rPr>
          <w:rFonts w:hint="eastAsia"/>
          <w:lang w:val="en-US" w:eastAsia="zh-CN"/>
        </w:rPr>
        <w:t>管理入口用户授权功能是提供省级医保单位进行注册授权的页面（如图4-8），其他各级企业、医疗机构、零售药店、县市级医保单位无需进行注册授权。</w:t>
      </w:r>
    </w:p>
    <w:p>
      <w:r>
        <w:drawing>
          <wp:inline distT="0" distB="0" distL="114300" distR="114300">
            <wp:extent cx="5271135" cy="2014855"/>
            <wp:effectExtent l="0" t="0" r="571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1135" cy="20148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图4-8</w:t>
      </w:r>
      <w:bookmarkStart w:id="0" w:name="_GoBack"/>
      <w:bookmarkEnd w:id="0"/>
    </w:p>
    <w:p>
      <w:pPr>
        <w:pStyle w:val="2"/>
        <w:bidi w:val="0"/>
        <w:rPr>
          <w:rFonts w:hint="eastAsia"/>
          <w:lang w:val="en-US" w:eastAsia="zh-CN"/>
        </w:rPr>
      </w:pPr>
      <w:r>
        <w:rPr>
          <w:rFonts w:hint="eastAsia"/>
          <w:lang w:val="en-US" w:eastAsia="zh-CN"/>
        </w:rPr>
        <w:t>5、旧版用户登录</w:t>
      </w:r>
    </w:p>
    <w:p>
      <w:pPr>
        <w:pStyle w:val="5"/>
        <w:bidi w:val="0"/>
        <w:rPr>
          <w:rFonts w:hint="eastAsia"/>
          <w:lang w:val="en-US" w:eastAsia="zh-CN"/>
        </w:rPr>
      </w:pPr>
      <w:r>
        <w:rPr>
          <w:rFonts w:hint="eastAsia"/>
          <w:lang w:val="en-US" w:eastAsia="zh-CN"/>
        </w:rPr>
        <w:t>“旧版用户登录”方式仍然保留原医保编码动态维护系统的登录功能（如图5-1），用户在没通过统一用户认证之前仍可通过原账号和密码进行登录操作，通过统一认证后将无法再通过此方式进行登录操作。</w:t>
      </w:r>
    </w:p>
    <w:p>
      <w:pPr>
        <w:bidi w:val="0"/>
        <w:jc w:val="center"/>
      </w:pPr>
      <w:r>
        <w:drawing>
          <wp:inline distT="0" distB="0" distL="114300" distR="114300">
            <wp:extent cx="2771775" cy="30765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2771775" cy="3076575"/>
                    </a:xfrm>
                    <a:prstGeom prst="rect">
                      <a:avLst/>
                    </a:prstGeom>
                    <a:noFill/>
                    <a:ln>
                      <a:noFill/>
                    </a:ln>
                  </pic:spPr>
                </pic:pic>
              </a:graphicData>
            </a:graphic>
          </wp:inline>
        </w:drawing>
      </w:r>
    </w:p>
    <w:p>
      <w:pPr>
        <w:bidi w:val="0"/>
        <w:jc w:val="center"/>
        <w:rPr>
          <w:rFonts w:hint="eastAsia"/>
          <w:lang w:val="en-US" w:eastAsia="zh-CN"/>
        </w:rPr>
      </w:pPr>
      <w:r>
        <w:rPr>
          <w:rFonts w:hint="eastAsia"/>
          <w:lang w:val="en-US" w:eastAsia="zh-CN"/>
        </w:rPr>
        <w:t>图5-1</w:t>
      </w:r>
    </w:p>
    <w:p>
      <w:pPr>
        <w:widowControl w:val="0"/>
        <w:numPr>
          <w:ilvl w:val="0"/>
          <w:numId w:val="0"/>
        </w:numPr>
        <w:spacing w:line="360" w:lineRule="auto"/>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ABA6B0"/>
    <w:multiLevelType w:val="singleLevel"/>
    <w:tmpl w:val="E4ABA6B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60D5C"/>
    <w:rsid w:val="174A20BD"/>
    <w:rsid w:val="206F5DE7"/>
    <w:rsid w:val="213D478E"/>
    <w:rsid w:val="503E0637"/>
    <w:rsid w:val="525E48EE"/>
    <w:rsid w:val="5D8C420A"/>
    <w:rsid w:val="6C016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仿宋" w:asciiTheme="minorAscii" w:hAnsiTheme="minorAscii" w:cstheme="minorBidi"/>
      <w:kern w:val="2"/>
      <w:sz w:val="24"/>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5">
    <w:name w:val="段落"/>
    <w:basedOn w:val="1"/>
    <w:uiPriority w:val="0"/>
    <w:pPr>
      <w:spacing w:line="360" w:lineRule="auto"/>
      <w:ind w:firstLine="643" w:firstLineChars="200"/>
    </w:pPr>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2020-07-07T06:16:00Z</dcterms:created>
  <dc:creator>chine</dc:creator>
  <cp:lastModifiedBy>孤独浪子</cp:lastModifiedBy>
  <dcterms:modified xsi:type="dcterms:W3CDTF">2021-06-11T10:04:29Z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8E0F4EC95A89401EBDCABB39F0E84F18</vt:lpwstr>
  </property>
</Properties>
</file>