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ascii="Times New Roman" w:hAnsi="Times New Roman" w:cs="Times New Roman"/>
        </w:rPr>
      </w:pPr>
      <w:r>
        <w:rPr>
          <w:rFonts w:hint="default" w:ascii="Times New Roman" w:hAnsi="Times New Roman" w:cs="Times New Roman"/>
        </w:rPr>
        <w:t>2020年云南省医疗保障事业发展统计公报</w:t>
      </w:r>
    </w:p>
    <w:p>
      <w:pPr>
        <w:rPr>
          <w:rFonts w:hint="eastAsia"/>
        </w:rPr>
      </w:pPr>
    </w:p>
    <w:p>
      <w:pPr>
        <w:rPr>
          <w:rFonts w:hint="eastAsia"/>
        </w:rPr>
      </w:pPr>
      <w:r>
        <w:rPr>
          <w:rFonts w:hint="eastAsia"/>
        </w:rPr>
        <w:t>2020年，全省医疗保障部门坚持以习近平新时代中国特色社会主义思想为指导，贯彻落实党的十九大和十九届二中、三中、四中、五中全会精神以及习近平总书记考察云南重要讲话精神，认真履行医保基金唯一管理主体责任，围绕中心大局，创新思维理念，推进改革攻坚，在医保扶贫、新冠肺炎疫情防控救治和支持企业复工复产、服务全省生物医药和大健康产业发展、药品医用耗材集中采购、打击欺诈骗保、异地就医直接结算等方面取得显著成效，全省医疗保障工作衔接平稳、改革纵深推进，迈向高质量发展新征程。</w:t>
      </w:r>
    </w:p>
    <w:p>
      <w:pPr>
        <w:pStyle w:val="4"/>
        <w:numPr>
          <w:ilvl w:val="0"/>
          <w:numId w:val="1"/>
        </w:numPr>
        <w:bidi w:val="0"/>
        <w:ind w:left="220" w:leftChars="0" w:firstLineChars="0"/>
        <w:rPr>
          <w:rFonts w:hint="eastAsia"/>
        </w:rPr>
      </w:pPr>
      <w:r>
        <w:rPr>
          <w:rFonts w:hint="eastAsia"/>
        </w:rPr>
        <w:t>医疗保险</w:t>
      </w:r>
      <w:r>
        <w:rPr>
          <w:rStyle w:val="13"/>
          <w:rFonts w:hint="eastAsia"/>
        </w:rPr>
        <w:t>[</w:t>
      </w:r>
      <w:r>
        <w:rPr>
          <w:rStyle w:val="13"/>
          <w:rFonts w:hint="eastAsia"/>
        </w:rPr>
        <w:endnoteReference w:id="0"/>
      </w:r>
      <w:r>
        <w:rPr>
          <w:rStyle w:val="13"/>
          <w:rFonts w:hint="eastAsia"/>
        </w:rPr>
        <w:t>]</w:t>
      </w:r>
    </w:p>
    <w:p>
      <w:pPr>
        <w:ind w:left="0" w:leftChars="0" w:firstLine="0" w:firstLineChars="0"/>
        <w:rPr>
          <w:rFonts w:hint="eastAsia"/>
        </w:rPr>
      </w:pPr>
      <w:r>
        <w:rPr>
          <w:rFonts w:hint="eastAsia"/>
        </w:rPr>
        <w:t xml:space="preserve">    2020年参加全省基本医疗保险</w:t>
      </w:r>
      <w:r>
        <w:rPr>
          <w:rStyle w:val="13"/>
          <w:rFonts w:hint="eastAsia"/>
        </w:rPr>
        <w:t>[</w:t>
      </w:r>
      <w:r>
        <w:rPr>
          <w:rStyle w:val="13"/>
          <w:rFonts w:hint="eastAsia"/>
        </w:rPr>
        <w:endnoteReference w:id="1"/>
      </w:r>
      <w:r>
        <w:rPr>
          <w:rStyle w:val="13"/>
          <w:rFonts w:hint="eastAsia"/>
        </w:rPr>
        <w:t>]</w:t>
      </w:r>
      <w:r>
        <w:rPr>
          <w:rFonts w:hint="eastAsia"/>
        </w:rPr>
        <w:t>（以下简称基本医保）4581万人，参保率稳定在95%以上。2020年，全省基本医保基金（含生育保险）总收入685亿元，同比增长5%；全省基本医保基金（含生育保险）总支出571亿元，同比增长0.9%</w:t>
      </w:r>
      <w:r>
        <w:rPr>
          <w:rFonts w:hint="eastAsia"/>
          <w:lang w:eastAsia="zh-CN"/>
        </w:rPr>
        <w:t>；</w:t>
      </w:r>
      <w:r>
        <w:rPr>
          <w:rFonts w:hint="eastAsia"/>
        </w:rPr>
        <w:t>全省基本医保基金（含生育保险）</w:t>
      </w:r>
      <w:r>
        <w:rPr>
          <w:rFonts w:hint="eastAsia"/>
          <w:lang w:val="en-US" w:eastAsia="zh-CN"/>
        </w:rPr>
        <w:t>当期结余114</w:t>
      </w:r>
      <w:r>
        <w:rPr>
          <w:rFonts w:hint="eastAsia"/>
        </w:rPr>
        <w:t>亿元</w:t>
      </w:r>
      <w:r>
        <w:rPr>
          <w:rFonts w:hint="eastAsia"/>
          <w:lang w:eastAsia="zh-CN"/>
        </w:rPr>
        <w:t>（</w:t>
      </w:r>
      <w:r>
        <w:rPr>
          <w:rFonts w:hint="eastAsia"/>
          <w:lang w:val="en-US" w:eastAsia="zh-CN"/>
        </w:rPr>
        <w:t>含个人账户）</w:t>
      </w:r>
      <w:r>
        <w:rPr>
          <w:rFonts w:hint="eastAsia"/>
        </w:rPr>
        <w:t>。</w:t>
      </w:r>
    </w:p>
    <w:p>
      <w:pPr>
        <w:pStyle w:val="5"/>
        <w:bidi w:val="0"/>
        <w:rPr>
          <w:rFonts w:hint="eastAsia"/>
        </w:rPr>
      </w:pPr>
      <w:r>
        <w:rPr>
          <w:rFonts w:hint="eastAsia"/>
        </w:rPr>
        <w:t>(一)职工基本医疗保险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rPr>
      </w:pPr>
      <w:r>
        <w:rPr>
          <w:rFonts w:hint="eastAsia"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1.参保人数持续增加。2020年参加职工医保548万人，同比增加20万人，增长3.9%。按参保人员性质分，</w:t>
      </w:r>
      <w:r>
        <w:rPr>
          <w:rFonts w:hint="default"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在职职工</w:t>
      </w:r>
      <w:r>
        <w:rPr>
          <w:rFonts w:hint="eastAsia"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391</w:t>
      </w:r>
      <w:r>
        <w:rPr>
          <w:rFonts w:hint="default"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万人，</w:t>
      </w:r>
      <w:r>
        <w:rPr>
          <w:rFonts w:hint="eastAsia"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同比增加</w:t>
      </w:r>
      <w:r>
        <w:rPr>
          <w:rFonts w:hint="eastAsia"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17万人，</w:t>
      </w:r>
      <w:r>
        <w:rPr>
          <w:rFonts w:hint="default"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增长</w:t>
      </w:r>
      <w:r>
        <w:rPr>
          <w:rFonts w:hint="eastAsia"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4.7</w:t>
      </w:r>
      <w:r>
        <w:rPr>
          <w:rFonts w:hint="default"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w:t>
      </w:r>
      <w:r>
        <w:rPr>
          <w:rFonts w:hint="eastAsia"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，占参保总人数的</w:t>
      </w:r>
      <w:r>
        <w:rPr>
          <w:rFonts w:hint="eastAsia"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71.3%</w:t>
      </w:r>
      <w:r>
        <w:rPr>
          <w:rFonts w:hint="eastAsia"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退休职工</w:t>
      </w:r>
      <w:r>
        <w:rPr>
          <w:rFonts w:hint="eastAsia" w:ascii="Times New Roman" w:hAnsi="Times New Roman"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15</w:t>
      </w:r>
      <w:r>
        <w:rPr>
          <w:rFonts w:hint="eastAsia"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7</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万人，</w:t>
      </w:r>
      <w:r>
        <w:rPr>
          <w:rFonts w:hint="eastAsia"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同比增加</w:t>
      </w:r>
      <w:r>
        <w:rPr>
          <w:rFonts w:hint="eastAsia"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3万人，</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增长</w:t>
      </w:r>
      <w:r>
        <w:rPr>
          <w:rFonts w:hint="eastAsia" w:ascii="Times New Roman" w:hAnsi="Times New Roman"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2</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w:t>
      </w:r>
      <w:r>
        <w:rPr>
          <w:rFonts w:hint="eastAsia"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，占总参保人数的</w:t>
      </w:r>
      <w:r>
        <w:rPr>
          <w:rFonts w:hint="eastAsia"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28.7%</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。在职退休比为2.</w:t>
      </w:r>
      <w:r>
        <w:rPr>
          <w:rFonts w:hint="eastAsia" w:ascii="Times New Roman" w:hAnsi="Times New Roman"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48</w:t>
      </w:r>
      <w:r>
        <w:rPr>
          <w:rFonts w:hint="eastAsia"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w:t>
      </w:r>
      <w:bookmarkStart w:id="0" w:name="_GoBack"/>
      <w:bookmarkEnd w:id="0"/>
      <w:r>
        <w:rPr>
          <w:rFonts w:hint="eastAsia"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1</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w:t>
      </w:r>
      <w:r>
        <w:rPr>
          <w:rFonts w:hint="eastAsia"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同比</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上升0.0</w:t>
      </w:r>
      <w:r>
        <w:rPr>
          <w:rFonts w:hint="eastAsia" w:ascii="Times New Roman" w:hAnsi="Times New Roman"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w:t>
      </w:r>
    </w:p>
    <w:p>
      <w:pPr>
        <w:rPr>
          <w:rFonts w:hint="eastAsia"/>
        </w:rPr>
      </w:pPr>
      <w:r>
        <w:rPr>
          <w:rFonts w:hint="eastAsia"/>
        </w:rPr>
        <w:t>2.基金收支规模平稳增长。2020年，职工医保基金（含生育保险）收入341亿元</w:t>
      </w:r>
      <w:r>
        <w:rPr>
          <w:rFonts w:hint="eastAsia"/>
          <w:lang w:eastAsia="zh-CN"/>
        </w:rPr>
        <w:t>，</w:t>
      </w:r>
      <w:r>
        <w:rPr>
          <w:rFonts w:hint="eastAsia"/>
        </w:rPr>
        <w:t>同比增加17亿元，增长5.1%</w:t>
      </w:r>
      <w:r>
        <w:rPr>
          <w:rStyle w:val="13"/>
          <w:rFonts w:hint="eastAsia"/>
        </w:rPr>
        <w:t>[</w:t>
      </w:r>
      <w:r>
        <w:rPr>
          <w:rStyle w:val="13"/>
          <w:rFonts w:hint="eastAsia"/>
        </w:rPr>
        <w:endnoteReference w:id="2"/>
      </w:r>
      <w:r>
        <w:rPr>
          <w:rStyle w:val="13"/>
          <w:rFonts w:hint="eastAsia"/>
        </w:rPr>
        <w:t>]</w:t>
      </w:r>
      <w:r>
        <w:rPr>
          <w:rFonts w:hint="eastAsia"/>
          <w:lang w:eastAsia="zh-CN"/>
        </w:rPr>
        <w:t>；</w:t>
      </w:r>
      <w:r>
        <w:rPr>
          <w:rFonts w:hint="eastAsia"/>
        </w:rPr>
        <w:t>职工医保基金（含生育保险）支出260亿元，同比增加6亿元，增长2.2%</w:t>
      </w:r>
      <w:r>
        <w:rPr>
          <w:rFonts w:hint="eastAsia"/>
          <w:lang w:eastAsia="zh-CN"/>
        </w:rPr>
        <w:t>；</w:t>
      </w:r>
      <w:r>
        <w:rPr>
          <w:rFonts w:hint="eastAsia"/>
        </w:rPr>
        <w:t>职工医保基金（含生育保险）当期结余81亿元。</w:t>
      </w:r>
    </w:p>
    <w:p>
      <w:pPr>
        <w:rPr>
          <w:rFonts w:hint="eastAsia"/>
        </w:rPr>
      </w:pPr>
      <w:r>
        <w:rPr>
          <w:rFonts w:hint="eastAsia"/>
        </w:rPr>
        <w:t>3.享受待遇人次略有降低。参加职工医保人员享受待遇3261万人次，同比减少243万人次，降低7%。</w:t>
      </w:r>
    </w:p>
    <w:p>
      <w:pPr>
        <w:rPr>
          <w:rFonts w:hint="eastAsia"/>
        </w:rPr>
      </w:pPr>
      <w:r>
        <w:rPr>
          <w:rFonts w:hint="eastAsia"/>
        </w:rPr>
        <w:t>2020年，职工医保参保人员人均就诊5.9次（在职5.2次、退休7.7次）</w:t>
      </w:r>
      <w:r>
        <w:rPr>
          <w:rStyle w:val="13"/>
          <w:rFonts w:hint="eastAsia"/>
        </w:rPr>
        <w:t>[</w:t>
      </w:r>
      <w:r>
        <w:rPr>
          <w:rStyle w:val="13"/>
          <w:rFonts w:hint="eastAsia"/>
        </w:rPr>
        <w:endnoteReference w:id="3"/>
      </w:r>
      <w:r>
        <w:rPr>
          <w:rStyle w:val="13"/>
          <w:rFonts w:hint="eastAsia"/>
        </w:rPr>
        <w:t>]</w:t>
      </w:r>
      <w:r>
        <w:rPr>
          <w:rFonts w:hint="eastAsia"/>
        </w:rPr>
        <w:t>，同比减少0.7次（在职0.6次、退休0.8次）。</w:t>
      </w:r>
    </w:p>
    <w:p>
      <w:pPr>
        <w:rPr>
          <w:rFonts w:hint="eastAsia"/>
        </w:rPr>
      </w:pPr>
      <w:r>
        <w:rPr>
          <w:rFonts w:hint="eastAsia"/>
        </w:rPr>
        <w:t>4.住院率有所下降。</w:t>
      </w:r>
      <w:r>
        <w:rPr>
          <w:rFonts w:hint="eastAsia"/>
          <w:lang w:val="en-US" w:eastAsia="zh-CN"/>
        </w:rPr>
        <w:t>职工医保</w:t>
      </w:r>
      <w:r>
        <w:rPr>
          <w:rFonts w:hint="eastAsia"/>
        </w:rPr>
        <w:t>住院率24.1%（在职12.6%、退休52.5%），同比减少1.8%（在职0.3%、退休4.6%）。次均住院费用9152元，同比增加271元，增长3%。</w:t>
      </w:r>
    </w:p>
    <w:p>
      <w:pPr>
        <w:rPr>
          <w:rFonts w:hint="eastAsia"/>
        </w:rPr>
      </w:pPr>
      <w:r>
        <w:rPr>
          <w:rFonts w:hint="eastAsia"/>
          <w:lang w:val="en-US" w:eastAsia="zh-CN"/>
        </w:rPr>
        <w:t>5</w:t>
      </w:r>
      <w:r>
        <w:rPr>
          <w:rFonts w:hint="eastAsia"/>
        </w:rPr>
        <w:t>.住院费用报销保持较高水平。职工医保政策范围内住院费用基金支付86.9%</w:t>
      </w:r>
      <w:r>
        <w:rPr>
          <w:rStyle w:val="13"/>
          <w:rFonts w:hint="eastAsia"/>
        </w:rPr>
        <w:t>[</w:t>
      </w:r>
      <w:r>
        <w:rPr>
          <w:rStyle w:val="13"/>
          <w:rFonts w:hint="eastAsia"/>
        </w:rPr>
        <w:endnoteReference w:id="4"/>
      </w:r>
      <w:r>
        <w:rPr>
          <w:rStyle w:val="13"/>
          <w:rFonts w:hint="eastAsia"/>
        </w:rPr>
        <w:t>]</w:t>
      </w:r>
      <w:r>
        <w:rPr>
          <w:rFonts w:hint="eastAsia"/>
        </w:rPr>
        <w:t>。</w:t>
      </w:r>
    </w:p>
    <w:p>
      <w:pPr>
        <w:pStyle w:val="5"/>
        <w:bidi w:val="0"/>
        <w:rPr>
          <w:rFonts w:hint="eastAsia"/>
        </w:rPr>
      </w:pPr>
      <w:r>
        <w:rPr>
          <w:rFonts w:hint="eastAsia"/>
        </w:rPr>
        <w:t>(二)城乡居民基本医疗保险</w:t>
      </w:r>
    </w:p>
    <w:p>
      <w:pPr>
        <w:rPr>
          <w:rFonts w:hint="eastAsia"/>
        </w:rPr>
      </w:pPr>
      <w:r>
        <w:rPr>
          <w:rFonts w:hint="eastAsia"/>
        </w:rPr>
        <w:t>1.参保人数略有增加。2020年，参加城乡居民基本医疗保险（以下简称居民医保）4033万人，同比增加27万人，增长0.7%。</w:t>
      </w:r>
    </w:p>
    <w:p>
      <w:pPr>
        <w:rPr>
          <w:rFonts w:hint="eastAsia"/>
        </w:rPr>
      </w:pPr>
      <w:r>
        <w:rPr>
          <w:rFonts w:hint="eastAsia"/>
        </w:rPr>
        <w:t>2.基金收支规模不断扩大。2020年，居民医保基金收入344亿元，同比增加16亿元，增长4.8%；医保基金支出311亿元，同比减少0.5亿元，降低0.2%；医保基金当期结余33亿元。</w:t>
      </w:r>
    </w:p>
    <w:p>
      <w:pPr>
        <w:rPr>
          <w:rFonts w:hint="eastAsia"/>
        </w:rPr>
      </w:pPr>
      <w:r>
        <w:rPr>
          <w:rFonts w:hint="eastAsia"/>
        </w:rPr>
        <w:t>3.享受待遇人次稳步增加。2020年参保人员享受待遇13422万人次，同比增加251万人次，增长1.9%。</w:t>
      </w:r>
    </w:p>
    <w:p>
      <w:pPr>
        <w:rPr>
          <w:rFonts w:hint="eastAsia"/>
        </w:rPr>
      </w:pPr>
      <w:r>
        <w:rPr>
          <w:rFonts w:hint="eastAsia"/>
        </w:rPr>
        <w:t>4.住院率有所下降。居民医保参保人员住院率为18.4%，同比下降1%；次均住院费用5248元，同比增加288元，增长5.8%。</w:t>
      </w:r>
    </w:p>
    <w:p>
      <w:pPr>
        <w:rPr>
          <w:rFonts w:hint="eastAsia"/>
        </w:rPr>
      </w:pPr>
      <w:r>
        <w:rPr>
          <w:rFonts w:hint="eastAsia"/>
        </w:rPr>
        <w:t>5.住院报销水平稳步提升。居民医保政策范围内住院费用基金支付73.5%，同比增加2.2%。</w:t>
      </w:r>
    </w:p>
    <w:p>
      <w:pPr>
        <w:pStyle w:val="5"/>
        <w:bidi w:val="0"/>
        <w:rPr>
          <w:rFonts w:hint="eastAsia"/>
        </w:rPr>
      </w:pPr>
      <w:r>
        <w:rPr>
          <w:rFonts w:hint="eastAsia"/>
        </w:rPr>
        <w:t>(三)生育保险</w:t>
      </w:r>
    </w:p>
    <w:p>
      <w:pPr>
        <w:rPr>
          <w:rFonts w:hint="eastAsia"/>
        </w:rPr>
      </w:pPr>
      <w:r>
        <w:rPr>
          <w:rFonts w:hint="eastAsia"/>
        </w:rPr>
        <w:t>2020年，全省参加生育保险375万人，同比增加19万人，增长5.3%。享受各项生育保险待遇22万人次，同比增加4万人次，增长21.7%。生育保险人均生育待遇支出为10146元</w:t>
      </w:r>
      <w:r>
        <w:rPr>
          <w:rStyle w:val="13"/>
          <w:rFonts w:hint="eastAsia"/>
        </w:rPr>
        <w:t>[</w:t>
      </w:r>
      <w:r>
        <w:rPr>
          <w:rStyle w:val="13"/>
          <w:rFonts w:hint="eastAsia"/>
        </w:rPr>
        <w:endnoteReference w:id="5"/>
      </w:r>
      <w:r>
        <w:rPr>
          <w:rStyle w:val="13"/>
          <w:rFonts w:hint="eastAsia"/>
        </w:rPr>
        <w:t>]</w:t>
      </w:r>
      <w:r>
        <w:rPr>
          <w:rFonts w:hint="eastAsia"/>
        </w:rPr>
        <w:t>，同比减少366元，降低3.5%。</w:t>
      </w:r>
    </w:p>
    <w:p>
      <w:pPr>
        <w:pStyle w:val="4"/>
        <w:bidi w:val="0"/>
        <w:rPr>
          <w:rFonts w:hint="eastAsia"/>
        </w:rPr>
      </w:pPr>
      <w:r>
        <w:rPr>
          <w:rFonts w:hint="eastAsia"/>
        </w:rPr>
        <w:t>二、医疗救助和医保扶贫</w:t>
      </w:r>
    </w:p>
    <w:p>
      <w:pPr>
        <w:rPr>
          <w:rFonts w:hint="eastAsia"/>
        </w:rPr>
      </w:pPr>
      <w:r>
        <w:rPr>
          <w:rFonts w:hint="eastAsia"/>
        </w:rPr>
        <w:t>2020年城乡居民医疗救助收入合计34.</w:t>
      </w:r>
      <w:r>
        <w:rPr>
          <w:rFonts w:hint="eastAsia"/>
          <w:lang w:val="en-US" w:eastAsia="zh-CN"/>
        </w:rPr>
        <w:t>8</w:t>
      </w:r>
      <w:r>
        <w:rPr>
          <w:rFonts w:hint="eastAsia"/>
        </w:rPr>
        <w:t>亿元，医疗救助资金支出30.1亿元，其中：资助参保支出15.8亿元，住院救助支出14亿元，门诊救助支出0.3亿元。</w:t>
      </w:r>
    </w:p>
    <w:p>
      <w:pPr>
        <w:rPr>
          <w:rFonts w:hint="eastAsia"/>
        </w:rPr>
      </w:pPr>
      <w:r>
        <w:rPr>
          <w:rFonts w:hint="eastAsia"/>
        </w:rPr>
        <w:t>2020年全省农村建档立卡贫困人口参保率稳定在100%，待遇享受2968万人次（住院181万人次、门诊2787万人次）。</w:t>
      </w:r>
    </w:p>
    <w:p>
      <w:pPr>
        <w:pStyle w:val="4"/>
        <w:bidi w:val="0"/>
        <w:rPr>
          <w:rFonts w:hint="eastAsia"/>
        </w:rPr>
      </w:pPr>
      <w:r>
        <w:rPr>
          <w:rFonts w:hint="eastAsia"/>
        </w:rPr>
        <w:t>三、医保药品目录</w:t>
      </w:r>
    </w:p>
    <w:p>
      <w:pPr>
        <w:rPr>
          <w:rFonts w:hint="eastAsia"/>
        </w:rPr>
      </w:pPr>
      <w:r>
        <w:rPr>
          <w:rFonts w:hint="eastAsia"/>
        </w:rPr>
        <w:t>2020年国家医保药品目录调整148种药品，其中，新增119种药品进入目录，29种药品调出目录。调整后的西药和中成药数量为2800种，其中西药1426种，中成药1374种。另外，基金予以支付的中药饮片892种。</w:t>
      </w:r>
    </w:p>
    <w:p>
      <w:pPr>
        <w:rPr>
          <w:rFonts w:hint="eastAsia"/>
        </w:rPr>
      </w:pPr>
      <w:r>
        <w:rPr>
          <w:rStyle w:val="14"/>
          <w:rFonts w:hint="eastAsia"/>
        </w:rPr>
        <w:t>四、药品采购</w:t>
      </w:r>
    </w:p>
    <w:p>
      <w:pPr>
        <w:rPr>
          <w:rFonts w:hint="eastAsia"/>
        </w:rPr>
      </w:pPr>
      <w:r>
        <w:rPr>
          <w:rFonts w:hint="eastAsia"/>
        </w:rPr>
        <w:t>2020年，全国通过省级药品集中采购平台网采订单总金额为200亿元，同比增加6亿元。其中，西药(化学药品及生物制品)138亿元，同比增加3亿元；中成药36亿元，同比下降2亿元。</w:t>
      </w:r>
    </w:p>
    <w:p>
      <w:pPr>
        <w:rPr>
          <w:rFonts w:hint="eastAsia"/>
        </w:rPr>
      </w:pPr>
      <w:r>
        <w:rPr>
          <w:rFonts w:hint="eastAsia"/>
        </w:rPr>
        <w:t>2020年，开展5批药品集中带量采购，涉及172个品种，平均降价60%左右。</w:t>
      </w:r>
    </w:p>
    <w:p>
      <w:pPr>
        <w:pStyle w:val="4"/>
        <w:bidi w:val="0"/>
        <w:rPr>
          <w:rFonts w:hint="eastAsia"/>
        </w:rPr>
      </w:pPr>
      <w:r>
        <w:rPr>
          <w:rFonts w:hint="eastAsia"/>
        </w:rPr>
        <w:t>五、医保支付方式改革</w:t>
      </w:r>
    </w:p>
    <w:p>
      <w:pPr>
        <w:rPr>
          <w:rFonts w:hint="eastAsia"/>
        </w:rPr>
      </w:pPr>
      <w:r>
        <w:rPr>
          <w:rFonts w:hint="eastAsia"/>
        </w:rPr>
        <w:t>持续推进医保支付方式改革。2020年，全省共有8个统筹区开展DRG付费</w:t>
      </w:r>
      <w:r>
        <w:rPr>
          <w:rStyle w:val="13"/>
          <w:rFonts w:hint="eastAsia"/>
        </w:rPr>
        <w:t>[</w:t>
      </w:r>
      <w:r>
        <w:rPr>
          <w:rStyle w:val="13"/>
          <w:rFonts w:hint="eastAsia"/>
        </w:rPr>
        <w:endnoteReference w:id="6"/>
      </w:r>
      <w:r>
        <w:rPr>
          <w:rStyle w:val="13"/>
          <w:rFonts w:hint="eastAsia"/>
        </w:rPr>
        <w:t>]</w:t>
      </w:r>
      <w:r>
        <w:rPr>
          <w:rFonts w:hint="eastAsia"/>
        </w:rPr>
        <w:t>工作，昆明地区作为DRG付费改革国家试点城市也在稳妥有序推进；有2个统筹区开展DIP付费</w:t>
      </w:r>
      <w:r>
        <w:rPr>
          <w:rStyle w:val="13"/>
          <w:rFonts w:hint="eastAsia"/>
        </w:rPr>
        <w:t>[</w:t>
      </w:r>
      <w:r>
        <w:rPr>
          <w:rStyle w:val="13"/>
          <w:rFonts w:hint="eastAsia"/>
        </w:rPr>
        <w:endnoteReference w:id="7"/>
      </w:r>
      <w:r>
        <w:rPr>
          <w:rStyle w:val="13"/>
          <w:rFonts w:hint="eastAsia"/>
        </w:rPr>
        <w:t>]</w:t>
      </w:r>
      <w:r>
        <w:rPr>
          <w:rFonts w:hint="eastAsia"/>
        </w:rPr>
        <w:t>国家试点工作。</w:t>
      </w:r>
    </w:p>
    <w:p>
      <w:pPr>
        <w:pStyle w:val="4"/>
        <w:bidi w:val="0"/>
        <w:rPr>
          <w:rFonts w:hint="eastAsia"/>
        </w:rPr>
      </w:pPr>
      <w:r>
        <w:rPr>
          <w:rFonts w:hint="eastAsia"/>
        </w:rPr>
        <w:t>六、异地就医</w:t>
      </w:r>
    </w:p>
    <w:p>
      <w:pPr>
        <w:rPr>
          <w:rFonts w:hint="eastAsia"/>
        </w:rPr>
      </w:pPr>
      <w:r>
        <w:rPr>
          <w:rFonts w:hint="eastAsia"/>
        </w:rPr>
        <w:t>2020年，职工医保参保人员异地就医616万人次，异地就医费用41亿元，其中，住院异地就医19万人次，就医费用29亿元。居民医保参保人员异地就医52万人次，异地就医费用59亿元，其中，住院异地就医37万人次，就医费用57亿元。</w:t>
      </w:r>
    </w:p>
    <w:p>
      <w:pPr>
        <w:rPr>
          <w:rFonts w:hint="eastAsia"/>
        </w:rPr>
      </w:pPr>
      <w:r>
        <w:rPr>
          <w:rFonts w:hint="eastAsia"/>
        </w:rPr>
        <w:t>2020年，全省异地就医直接结算定点医疗机构数量为3347家（跨省1373家、省内1974家），直接结算医疗费用100亿元（跨省15亿元、省内85亿元），其中，医保支付71亿元（跨省 10亿元、省内61亿元）。</w:t>
      </w:r>
    </w:p>
    <w:p>
      <w:pPr>
        <w:pStyle w:val="4"/>
        <w:bidi w:val="0"/>
        <w:rPr>
          <w:rFonts w:hint="eastAsia"/>
        </w:rPr>
      </w:pPr>
      <w:r>
        <w:rPr>
          <w:rFonts w:hint="eastAsia"/>
        </w:rPr>
        <w:t>七、医疗保障基金监管</w:t>
      </w:r>
    </w:p>
    <w:p>
      <w:pPr>
        <w:rPr>
          <w:rFonts w:hint="eastAsia"/>
        </w:rPr>
      </w:pPr>
      <w:r>
        <w:rPr>
          <w:rFonts w:hint="eastAsia"/>
        </w:rPr>
        <w:t xml:space="preserve"> 2020年，持续保持打击欺诈骗保的高压态势，深入推进定点医药机构专项治理。全省各级医保部门检查定点医药机构3.3万家，处理违规定点医药机构1.79万家，追回医保基金6.8亿元。其中：暂停医保服务协议280家，解除医保服务协议92家，移交司法机关4家，行政处罚97家。查处违法违规参保人1625人，移送司法机关25人；查处经办机构工作人员违法1人。兑现举报奖励2.8万元，主动公开曝光典型案例465例。</w:t>
      </w:r>
    </w:p>
    <w:p>
      <w:pPr>
        <w:rPr>
          <w:rFonts w:hint="eastAsia"/>
        </w:rPr>
      </w:pPr>
      <w:r>
        <w:rPr>
          <w:rFonts w:hint="eastAsia"/>
        </w:rPr>
        <w:t>组织开展2批次省内飞行检查，共检查省内7家定点医疗机构，共查出医保违规金额3937万元；配合国家飞行检查组开展了2批次飞行检查，检查3家定点医疗机构，1家医保经办机构，查出医保违规金额1921万元。</w:t>
      </w:r>
    </w:p>
    <w:p>
      <w:pPr>
        <w:rPr>
          <w:rFonts w:hint="eastAsia"/>
        </w:rPr>
      </w:pPr>
    </w:p>
    <w:p>
      <w:pPr>
        <w:rPr>
          <w:rFonts w:hint="eastAsia"/>
        </w:rPr>
      </w:pPr>
    </w:p>
    <w:p>
      <w:r>
        <w:rPr>
          <w:rFonts w:hint="eastAsia"/>
        </w:rPr>
        <w:t>注：本公报中部分数据因四舍五入，总计与分项合计略有差异。</w:t>
      </w:r>
    </w:p>
    <w:sectPr>
      <w:footerReference r:id="rId5" w:type="default"/>
      <w:endnotePr>
        <w:numFmt w:val="decimal"/>
      </w:endnotePr>
      <w:pgSz w:w="11906" w:h="16838"/>
      <w:pgMar w:top="1984" w:right="1531" w:bottom="1417" w:left="1531" w:header="851" w:footer="850"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6">
    <w:p>
      <w:pPr>
        <w:spacing w:line="240" w:lineRule="auto"/>
        <w:ind w:firstLine="640"/>
      </w:pPr>
    </w:p>
  </w:endnote>
  <w:endnote w:type="continuationSeparator" w:id="17">
    <w:p>
      <w:pPr>
        <w:spacing w:line="240" w:lineRule="auto"/>
        <w:ind w:firstLine="640"/>
      </w:pPr>
    </w:p>
  </w:endnote>
  <w:endnote w:id="0">
    <w:p>
      <w:pPr>
        <w:pStyle w:val="7"/>
        <w:snapToGrid w:val="0"/>
      </w:pPr>
      <w:r>
        <w:rPr>
          <w:rStyle w:val="13"/>
        </w:rPr>
        <w:t>[</w:t>
      </w:r>
      <w:r>
        <w:rPr>
          <w:rStyle w:val="13"/>
        </w:rPr>
        <w:endnoteRef/>
      </w:r>
      <w:r>
        <w:rPr>
          <w:rStyle w:val="13"/>
        </w:rPr>
        <w:t>]</w:t>
      </w:r>
      <w:r>
        <w:rPr>
          <w:rFonts w:hint="default" w:ascii="Times New Roman" w:hAnsi="Times New Roman" w:eastAsia="方正仿宋_GBK" w:cs="Times New Roman"/>
          <w:color w:val="000000" w:themeColor="text1"/>
          <w:lang w:val="en-US" w:eastAsia="zh-CN"/>
          <w14:textFill>
            <w14:solidFill>
              <w14:schemeClr w14:val="tx1"/>
            </w14:solidFill>
          </w14:textFill>
        </w:rPr>
        <w:t>医疗保险部分及医保扶贫数据来源于《医疗保障统计报表》，医疗保险基金相关数据及医疗救助数据来源于《医疗保障基金报表》。</w:t>
      </w:r>
    </w:p>
  </w:endnote>
  <w:endnote w:id="1">
    <w:p>
      <w:pPr>
        <w:pStyle w:val="7"/>
        <w:snapToGrid w:val="0"/>
      </w:pPr>
      <w:r>
        <w:rPr>
          <w:rStyle w:val="13"/>
        </w:rPr>
        <w:t>[</w:t>
      </w:r>
      <w:r>
        <w:rPr>
          <w:rStyle w:val="13"/>
        </w:rPr>
        <w:endnoteRef/>
      </w:r>
      <w:r>
        <w:rPr>
          <w:rStyle w:val="13"/>
        </w:rPr>
        <w:t>]</w:t>
      </w:r>
      <w:r>
        <w:rPr>
          <w:rFonts w:hint="default" w:ascii="Times New Roman" w:hAnsi="Times New Roman" w:eastAsia="方正仿宋_GBK" w:cs="Times New Roman"/>
          <w:color w:val="000000" w:themeColor="text1"/>
          <w14:textFill>
            <w14:solidFill>
              <w14:schemeClr w14:val="tx1"/>
            </w14:solidFill>
          </w14:textFill>
        </w:rPr>
        <w:t>全</w:t>
      </w:r>
      <w:r>
        <w:rPr>
          <w:rFonts w:hint="default" w:ascii="Times New Roman" w:hAnsi="Times New Roman" w:eastAsia="方正仿宋_GBK" w:cs="Times New Roman"/>
          <w:color w:val="000000" w:themeColor="text1"/>
          <w:lang w:eastAsia="zh-CN"/>
          <w14:textFill>
            <w14:solidFill>
              <w14:schemeClr w14:val="tx1"/>
            </w14:solidFill>
          </w14:textFill>
        </w:rPr>
        <w:t>省</w:t>
      </w:r>
      <w:r>
        <w:rPr>
          <w:rFonts w:hint="default" w:ascii="Times New Roman" w:hAnsi="Times New Roman" w:eastAsia="方正仿宋_GBK" w:cs="Times New Roman"/>
          <w:color w:val="000000" w:themeColor="text1"/>
          <w14:textFill>
            <w14:solidFill>
              <w14:schemeClr w14:val="tx1"/>
            </w14:solidFill>
          </w14:textFill>
        </w:rPr>
        <w:t>基本医疗保险含职工基本医疗保险、城乡居民基本医疗保险。生育保险基金并入职工基本医疗保险基金核算，不再单列生育保险基金收入，在职工基本医疗保险统筹基金待遇支出中设置生育待遇支出项目。</w:t>
      </w:r>
    </w:p>
  </w:endnote>
  <w:endnote w:id="2">
    <w:p>
      <w:pPr>
        <w:pStyle w:val="7"/>
        <w:snapToGrid w:val="0"/>
      </w:pPr>
      <w:r>
        <w:rPr>
          <w:rStyle w:val="13"/>
        </w:rPr>
        <w:t>[</w:t>
      </w:r>
      <w:r>
        <w:rPr>
          <w:rStyle w:val="13"/>
        </w:rPr>
        <w:endnoteRef/>
      </w:r>
      <w:r>
        <w:rPr>
          <w:rStyle w:val="13"/>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支持企业复工复产，</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2020年2-</w:t>
      </w:r>
      <w:r>
        <w:rPr>
          <w:rFonts w:hint="default" w:ascii="Times New Roman" w:hAnsi="Times New Roman"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月全</w:t>
      </w:r>
      <w:r>
        <w:rPr>
          <w:rFonts w:hint="default" w:ascii="Times New Roman" w:hAnsi="Times New Roman"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省</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实施阶段性减半征收职工医保单位缴费，减征</w:t>
      </w:r>
      <w:r>
        <w:rPr>
          <w:rFonts w:hint="default" w:ascii="Times New Roman" w:hAnsi="Times New Roman"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医疗费</w:t>
      </w:r>
      <w:r>
        <w:rPr>
          <w:rFonts w:hint="default" w:ascii="Times New Roman" w:hAnsi="Times New Roman"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25.3</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亿元</w:t>
      </w:r>
      <w:r>
        <w:rPr>
          <w:rFonts w:hint="default" w:ascii="Times New Roman" w:hAnsi="Times New Roman" w:eastAsia="方正仿宋_GBK" w:cs="Times New Roman"/>
          <w:b w:val="0"/>
          <w:bCs w:val="0"/>
          <w:i w:val="0"/>
          <w:iCs w:val="0"/>
          <w:caps w:val="0"/>
          <w:color w:val="000000" w:themeColor="text1"/>
          <w:spacing w:val="5"/>
          <w:sz w:val="32"/>
          <w:szCs w:val="32"/>
          <w:shd w:val="clear" w:fill="FFFFFF"/>
          <w:lang w:eastAsia="zh-CN"/>
          <w14:textFill>
            <w14:solidFill>
              <w14:schemeClr w14:val="tx1"/>
            </w14:solidFill>
          </w14:textFill>
        </w:rPr>
        <w:t>，缓缴医疗费</w:t>
      </w:r>
      <w:r>
        <w:rPr>
          <w:rFonts w:hint="default" w:ascii="Times New Roman" w:hAnsi="Times New Roman" w:eastAsia="方正仿宋_GBK" w:cs="Times New Roman"/>
          <w:b w:val="0"/>
          <w:bCs w:val="0"/>
          <w:i w:val="0"/>
          <w:iCs w:val="0"/>
          <w:caps w:val="0"/>
          <w:color w:val="000000" w:themeColor="text1"/>
          <w:spacing w:val="5"/>
          <w:sz w:val="32"/>
          <w:szCs w:val="32"/>
          <w:shd w:val="clear" w:fill="FFFFFF"/>
          <w:lang w:val="en-US" w:eastAsia="zh-CN"/>
          <w14:textFill>
            <w14:solidFill>
              <w14:schemeClr w14:val="tx1"/>
            </w14:solidFill>
          </w14:textFill>
        </w:rPr>
        <w:t>3.6亿元</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w:t>
      </w:r>
    </w:p>
  </w:endnote>
  <w:endnote w:id="3">
    <w:p>
      <w:pPr>
        <w:pStyle w:val="7"/>
        <w:snapToGrid w:val="0"/>
      </w:pPr>
      <w:r>
        <w:rPr>
          <w:rStyle w:val="13"/>
        </w:rPr>
        <w:t>[</w:t>
      </w:r>
      <w:r>
        <w:rPr>
          <w:rStyle w:val="13"/>
        </w:rPr>
        <w:endnoteRef/>
      </w:r>
      <w:r>
        <w:rPr>
          <w:rStyle w:val="13"/>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人均就诊次数=（普通门诊就诊人次+门诊大病就诊人次+住院就诊人次）/职工总参保人数。</w:t>
      </w:r>
    </w:p>
  </w:endnote>
  <w:endnote w:id="4">
    <w:p>
      <w:pPr>
        <w:pStyle w:val="7"/>
        <w:snapToGrid w:val="0"/>
      </w:pPr>
      <w:r>
        <w:rPr>
          <w:rStyle w:val="13"/>
        </w:rPr>
        <w:t>[</w:t>
      </w:r>
      <w:r>
        <w:rPr>
          <w:rStyle w:val="13"/>
        </w:rPr>
        <w:endnoteRef/>
      </w:r>
      <w:r>
        <w:rPr>
          <w:rStyle w:val="13"/>
        </w:rPr>
        <w:t>]</w:t>
      </w:r>
      <w:r>
        <w:t xml:space="preserve"> </w:t>
      </w:r>
      <w:r>
        <w:rPr>
          <w:rFonts w:hint="default" w:ascii="Times New Roman" w:hAnsi="Times New Roman" w:eastAsia="方正仿宋_GBK" w:cs="Times New Roman"/>
          <w:b w:val="0"/>
          <w:bCs w:val="0"/>
          <w:i w:val="0"/>
          <w:iCs w:val="0"/>
          <w:caps w:val="0"/>
          <w:color w:val="000000" w:themeColor="text1"/>
          <w:spacing w:val="5"/>
          <w:sz w:val="32"/>
          <w:szCs w:val="32"/>
          <w:shd w:val="clear" w:fill="FFFFFF"/>
          <w14:textFill>
            <w14:solidFill>
              <w14:schemeClr w14:val="tx1"/>
            </w14:solidFill>
          </w14:textFill>
        </w:rPr>
        <w:t>2019年起政策范围内住院费用基金支付比例计算口径调整为基金支出全口径，将个人账户支出纳入基金支出统计，即基金支出为统筹基金、个人账户、补充医疗保险等其他基金支付之和。个人负担计算口径也相应调整，个人账户支出不纳入个人负担统计。</w:t>
      </w:r>
    </w:p>
  </w:endnote>
  <w:endnote w:id="5">
    <w:p>
      <w:pPr>
        <w:pStyle w:val="7"/>
        <w:snapToGrid w:val="0"/>
        <w:rPr>
          <w:rFonts w:hint="eastAsia" w:eastAsia="方正仿宋_GBK"/>
          <w:lang w:val="en-US" w:eastAsia="zh-CN"/>
        </w:rPr>
      </w:pPr>
      <w:r>
        <w:rPr>
          <w:rStyle w:val="13"/>
        </w:rPr>
        <w:t>[</w:t>
      </w:r>
      <w:r>
        <w:rPr>
          <w:rStyle w:val="13"/>
        </w:rPr>
        <w:endnoteRef/>
      </w:r>
      <w:r>
        <w:rPr>
          <w:rStyle w:val="13"/>
        </w:rPr>
        <w:t>]</w:t>
      </w:r>
      <w:r>
        <w:rPr>
          <w:rFonts w:hint="default" w:ascii="Times New Roman" w:hAnsi="Times New Roman" w:eastAsia="方正仿宋_GBK" w:cs="Times New Roman"/>
          <w:color w:val="000000" w:themeColor="text1"/>
          <w14:textFill>
            <w14:solidFill>
              <w14:schemeClr w14:val="tx1"/>
            </w14:solidFill>
          </w14:textFill>
        </w:rPr>
        <w:t>生育医疗费用和女职工生育津贴(产假，计划生育手术休假期间的替代性工资)。</w:t>
      </w:r>
    </w:p>
  </w:endnote>
  <w:endnote w:id="6">
    <w:p>
      <w:pPr>
        <w:pStyle w:val="7"/>
        <w:snapToGrid w:val="0"/>
        <w:rPr>
          <w:rFonts w:hint="default" w:eastAsia="方正仿宋_GBK"/>
          <w:lang w:val="en-US" w:eastAsia="zh-CN"/>
        </w:rPr>
      </w:pPr>
      <w:r>
        <w:rPr>
          <w:rStyle w:val="13"/>
        </w:rPr>
        <w:t>[</w:t>
      </w:r>
      <w:r>
        <w:rPr>
          <w:rStyle w:val="13"/>
        </w:rPr>
        <w:endnoteRef/>
      </w:r>
      <w:r>
        <w:rPr>
          <w:rStyle w:val="13"/>
        </w:rPr>
        <w:t>]</w:t>
      </w:r>
      <w:r>
        <w:t xml:space="preserve"> </w:t>
      </w:r>
      <w:r>
        <w:rPr>
          <w:rFonts w:hint="eastAsia"/>
          <w:lang w:val="en-US" w:eastAsia="zh-CN"/>
        </w:rPr>
        <w:t>DRG付费，即按疾病诊断相关分组付费，对住院医疗服务，按疾病病情严重程度、治疗方法复杂程度和实际资源消耗水平等进行病种分组，以疾病诊断相关组技术为支撑进行医疗机构诊疗成本与疗效测量评价。</w:t>
      </w:r>
    </w:p>
  </w:endnote>
  <w:endnote w:id="7">
    <w:p>
      <w:pPr>
        <w:pStyle w:val="7"/>
        <w:snapToGrid w:val="0"/>
        <w:rPr>
          <w:rFonts w:hint="default" w:eastAsia="方正仿宋_GBK"/>
          <w:lang w:val="en-US" w:eastAsia="zh-CN"/>
        </w:rPr>
      </w:pPr>
      <w:r>
        <w:rPr>
          <w:rStyle w:val="13"/>
        </w:rPr>
        <w:t>[</w:t>
      </w:r>
      <w:r>
        <w:rPr>
          <w:rStyle w:val="13"/>
        </w:rPr>
        <w:endnoteRef/>
      </w:r>
      <w:r>
        <w:rPr>
          <w:rStyle w:val="13"/>
        </w:rPr>
        <w:t>]</w:t>
      </w:r>
      <w:r>
        <w:t xml:space="preserve"> </w:t>
      </w:r>
      <w:r>
        <w:rPr>
          <w:rFonts w:hint="eastAsia"/>
          <w:lang w:val="en-US" w:eastAsia="zh-CN"/>
        </w:rPr>
        <w:t>DIP付费，即区域点数法总额预算及按病种分值付费，是医保部分基于总额控制，对不同病种赋予不同分值，以参保患者出院累计分值与定点医疗机构进行费用结算的一种付费方式。</w:t>
      </w:r>
    </w:p>
    <w:p>
      <w:pPr>
        <w:pStyle w:val="7"/>
        <w:snapToGrid w:val="0"/>
        <w:rPr>
          <w:rFonts w:hint="default" w:eastAsia="方正仿宋_GBK"/>
          <w:lang w:val="en-US"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ind w:left="0" w:leftChars="0" w:firstLine="0" w:firstLineChars="0"/>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p>
  </w:footnote>
  <w:footnote w:type="continuationSeparator" w:id="1">
    <w:p>
      <w:pPr>
        <w:spacing w:line="240" w:lineRule="auto"/>
        <w:ind w:firstLine="64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C5532"/>
    <w:multiLevelType w:val="singleLevel"/>
    <w:tmpl w:val="03DC5532"/>
    <w:lvl w:ilvl="0" w:tentative="0">
      <w:start w:val="1"/>
      <w:numFmt w:val="chineseCounting"/>
      <w:suff w:val="nothing"/>
      <w:lvlText w:val="%1、"/>
      <w:lvlJc w:val="left"/>
      <w:pPr>
        <w:ind w:left="2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numFmt w:val="decimal"/>
    <w:endnote w:id="16"/>
    <w:endnote w:id="17"/>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448D3"/>
    <w:rsid w:val="02551DE4"/>
    <w:rsid w:val="095F2B63"/>
    <w:rsid w:val="09740A8E"/>
    <w:rsid w:val="11837E27"/>
    <w:rsid w:val="12862D3D"/>
    <w:rsid w:val="1664656A"/>
    <w:rsid w:val="18CA1FF8"/>
    <w:rsid w:val="208A7419"/>
    <w:rsid w:val="21383773"/>
    <w:rsid w:val="21B45AF0"/>
    <w:rsid w:val="22022184"/>
    <w:rsid w:val="28D2414E"/>
    <w:rsid w:val="299C49B2"/>
    <w:rsid w:val="2BC825C3"/>
    <w:rsid w:val="3FDB4D6B"/>
    <w:rsid w:val="40A94B38"/>
    <w:rsid w:val="43323E70"/>
    <w:rsid w:val="4659366A"/>
    <w:rsid w:val="4C0F1C01"/>
    <w:rsid w:val="51221AC4"/>
    <w:rsid w:val="536D08AE"/>
    <w:rsid w:val="54513EE2"/>
    <w:rsid w:val="55E7271D"/>
    <w:rsid w:val="5A2B6000"/>
    <w:rsid w:val="5DF479E6"/>
    <w:rsid w:val="5F6D2020"/>
    <w:rsid w:val="6204572A"/>
    <w:rsid w:val="655F38BA"/>
    <w:rsid w:val="66407B40"/>
    <w:rsid w:val="6FF0756F"/>
    <w:rsid w:val="739448D3"/>
    <w:rsid w:val="73B47E9C"/>
    <w:rsid w:val="763401F6"/>
    <w:rsid w:val="783422C4"/>
    <w:rsid w:val="78AD0814"/>
    <w:rsid w:val="7B920E5A"/>
    <w:rsid w:val="DFFFA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spacing w:beforeAutospacing="0" w:afterAutospacing="0" w:line="700" w:lineRule="exact"/>
      <w:ind w:firstLine="0" w:firstLineChars="0"/>
      <w:jc w:val="center"/>
      <w:outlineLvl w:val="0"/>
    </w:pPr>
    <w:rPr>
      <w:rFonts w:ascii="Times New Roman" w:hAnsi="Times New Roman" w:eastAsia="方正小标宋_GBK" w:cs="Times New Roman"/>
      <w:bCs/>
      <w:kern w:val="44"/>
      <w:sz w:val="44"/>
      <w:szCs w:val="48"/>
    </w:rPr>
  </w:style>
  <w:style w:type="paragraph" w:styleId="4">
    <w:name w:val="heading 2"/>
    <w:basedOn w:val="1"/>
    <w:next w:val="1"/>
    <w:link w:val="14"/>
    <w:unhideWhenUsed/>
    <w:qFormat/>
    <w:uiPriority w:val="0"/>
    <w:pPr>
      <w:keepNext/>
      <w:keepLines/>
      <w:spacing w:beforeAutospacing="0" w:afterLines="0" w:afterAutospacing="0" w:line="600" w:lineRule="exact"/>
      <w:jc w:val="both"/>
      <w:outlineLvl w:val="1"/>
    </w:pPr>
    <w:rPr>
      <w:rFonts w:ascii="Times New Roman" w:hAnsi="Times New Roman" w:eastAsia="方正黑体_GBK"/>
      <w:b/>
      <w:sz w:val="32"/>
    </w:rPr>
  </w:style>
  <w:style w:type="paragraph" w:styleId="5">
    <w:name w:val="heading 3"/>
    <w:basedOn w:val="1"/>
    <w:next w:val="1"/>
    <w:unhideWhenUsed/>
    <w:qFormat/>
    <w:uiPriority w:val="0"/>
    <w:pPr>
      <w:keepNext/>
      <w:keepLines/>
      <w:spacing w:beforeLines="0" w:beforeAutospacing="0" w:afterLines="0" w:afterAutospacing="0" w:line="600" w:lineRule="exact"/>
      <w:outlineLvl w:val="2"/>
    </w:pPr>
    <w:rPr>
      <w:rFonts w:eastAsia="方正楷体_GBK" w:cstheme="minorBidi"/>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ind w:firstLine="0" w:firstLineChars="0"/>
      <w:outlineLvl w:val="3"/>
    </w:pPr>
    <w:rPr>
      <w:rFonts w:ascii="Arial" w:hAnsi="Arial" w:eastAsia="方正小标宋_GBK"/>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endnote text"/>
    <w:basedOn w:val="1"/>
    <w:qFormat/>
    <w:uiPriority w:val="0"/>
    <w:pPr>
      <w:snapToGrid w:val="0"/>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endnote reference"/>
    <w:basedOn w:val="12"/>
    <w:qFormat/>
    <w:uiPriority w:val="0"/>
    <w:rPr>
      <w:vertAlign w:val="superscript"/>
    </w:rPr>
  </w:style>
  <w:style w:type="character" w:customStyle="1" w:styleId="14">
    <w:name w:val="标题 2 Char"/>
    <w:link w:val="4"/>
    <w:qFormat/>
    <w:uiPriority w:val="0"/>
    <w:rPr>
      <w:rFonts w:ascii="Times New Roman" w:hAnsi="Times New Roman" w:eastAsia="方正黑体_GBK"/>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2021-09-27T18:24:00Z</dcterms:created>
  <dc:creator>半山。</dc:creator>
  <cp:lastModifiedBy>kylin</cp:lastModifiedBy>
  <cp:lastPrinted>2021-10-20T11:43:00Z</cp:lastPrinted>
  <dcterms:modified xsi:type="dcterms:W3CDTF">2021-10-28T15:58:44Z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691160F30F164835A6E40F3A7F198196</vt:lpwstr>
  </property>
</Properties>
</file>