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Times New Roman" w:eastAsia="方正小标宋简体" w:cs="方正小标宋_GBK"/>
          <w:bCs/>
          <w:color w:val="000000"/>
          <w:sz w:val="44"/>
          <w:szCs w:val="36"/>
        </w:rPr>
      </w:pPr>
      <w:bookmarkStart w:id="0" w:name="_GoBack"/>
      <w:bookmarkEnd w:id="0"/>
    </w:p>
    <w:p>
      <w:pPr>
        <w:spacing w:line="579" w:lineRule="exact"/>
        <w:jc w:val="center"/>
        <w:rPr>
          <w:rFonts w:ascii="方正小标宋简体" w:hAnsi="Times New Roman" w:eastAsia="方正小标宋简体" w:cs="方正小标宋_GBK"/>
          <w:bCs/>
          <w:color w:val="000000"/>
          <w:sz w:val="44"/>
          <w:szCs w:val="36"/>
        </w:rPr>
      </w:pPr>
      <w:r>
        <w:rPr>
          <w:rFonts w:hint="eastAsia" w:ascii="方正小标宋简体" w:hAnsi="Times New Roman" w:eastAsia="方正小标宋简体" w:cs="方正小标宋_GBK"/>
          <w:bCs/>
          <w:color w:val="000000"/>
          <w:sz w:val="44"/>
          <w:szCs w:val="36"/>
        </w:rPr>
        <w:t>云南省医疗服务与保障能力提升补助（医疗保障服务能力提升部分）中央转移支付</w:t>
      </w:r>
    </w:p>
    <w:p>
      <w:pPr>
        <w:spacing w:line="579" w:lineRule="exact"/>
        <w:jc w:val="center"/>
        <w:rPr>
          <w:rFonts w:ascii="方正小标宋简体" w:hAnsi="Times New Roman" w:eastAsia="方正小标宋简体" w:cs="方正小标宋_GBK"/>
          <w:bCs/>
          <w:color w:val="000000"/>
          <w:sz w:val="44"/>
          <w:szCs w:val="36"/>
        </w:rPr>
      </w:pPr>
      <w:r>
        <w:rPr>
          <w:rFonts w:hint="eastAsia" w:ascii="方正小标宋简体" w:hAnsi="Times New Roman" w:eastAsia="方正小标宋简体" w:cs="方正小标宋_GBK"/>
          <w:bCs/>
          <w:color w:val="000000"/>
          <w:sz w:val="44"/>
          <w:szCs w:val="36"/>
        </w:rPr>
        <w:t>资金2020年度绩效自评报告</w:t>
      </w:r>
    </w:p>
    <w:p>
      <w:pPr>
        <w:spacing w:line="579" w:lineRule="exact"/>
        <w:ind w:firstLine="640" w:firstLineChars="200"/>
        <w:outlineLvl w:val="0"/>
        <w:rPr>
          <w:rFonts w:ascii="Times New Roman" w:hAnsi="Times New Roman" w:eastAsia="方正仿宋_GBK" w:cs="方正黑体_GBK"/>
          <w:color w:val="000000"/>
          <w:sz w:val="32"/>
          <w:szCs w:val="32"/>
        </w:rPr>
      </w:pP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一、绩效目标分解下达情况</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（一）中央下达医疗服务与保障能力提升转移支付预算和绩效目标情况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1.中央下达医疗服务与保障能力提升转移支付预算情况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2020年，《财政部 国家医保局关于提前下达2020年中央财政医疗服务与保障能力提升补助资金预算的通知》（财社〔2019〕221号）、《财政部 医保局关于下达2020年医疗服务与保障能力提升补助资金（医疗服务能力提升部分）预算的通知》（财社〔2020〕54号）下达我省医疗服务与保障能力提升补助资金（医疗服务能力提升部分）共计12,694万元。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我省及时研究资金分配方案，先后通过《云南省财政厅 云南省医疗保障局关于下达2020年中央财政医疗服务与保障能力提升补助资金（医疗保障服务能力提升部分）预算的通知》（云财社〔2020〕5号）、《云南省财政厅 云南省医疗保障局关于下达2020年医疗服务与保障能力提升补助资金（医疗保障服务能力提升部分）预算的通知》（云财社〔2020〕133号）两个资金文件及时将中央补助资金12,694万元分配下达至省本级和各州（市），其中：分配省本级信息化建设资金11,734万元，分配下达各州（市）补助资金960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按照国家医疗服务与保障能力提升补助资金项目绩效评价目标相关要求，确定年度总体绩效目标，具体是：（</w:t>
      </w:r>
      <w:r>
        <w:rPr>
          <w:rFonts w:ascii="仿宋" w:hAnsi="仿宋" w:eastAsia="仿宋" w:cs="仿宋_GB2312"/>
          <w:color w:val="000000"/>
          <w:sz w:val="30"/>
          <w:szCs w:val="30"/>
        </w:rPr>
        <w:t>1</w:t>
      </w:r>
      <w:r>
        <w:rPr>
          <w:rFonts w:hint="eastAsia" w:ascii="仿宋" w:hAnsi="仿宋" w:eastAsia="仿宋" w:cs="仿宋_GB2312"/>
          <w:color w:val="000000"/>
          <w:sz w:val="30"/>
          <w:szCs w:val="30"/>
        </w:rPr>
        <w:t>）提升信息化水平，加强网络、信息安全、基础设施等方面建设，进一步夯实技术基础，切实保障医保信息系统高效、安全运行，提高数据采集质量和速度；（2）加强打击欺诈骗保工作力度，切实保障医保基金合理有效使用；（3）加快推进医保支付方式改革和D</w:t>
      </w:r>
      <w:r>
        <w:rPr>
          <w:rFonts w:ascii="仿宋" w:hAnsi="仿宋" w:eastAsia="仿宋" w:cs="仿宋_GB2312"/>
          <w:color w:val="000000"/>
          <w:sz w:val="30"/>
          <w:szCs w:val="30"/>
        </w:rPr>
        <w:t>RG</w:t>
      </w:r>
      <w:r>
        <w:rPr>
          <w:rFonts w:hint="eastAsia" w:ascii="仿宋" w:hAnsi="仿宋" w:eastAsia="仿宋" w:cs="仿宋_GB2312"/>
          <w:color w:val="000000"/>
          <w:sz w:val="30"/>
          <w:szCs w:val="30"/>
        </w:rPr>
        <w:t>试点工作；（4）有效提升综合监管、宣传引导、经办服务、人才队伍建设等医疗保障服务能力。</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同时，根据绩效评价工作基本要求，将绩效目标从产出、效益、满意度三个方面细化分解为不同阶段、层次的具体指标，确保通过项目绩效管理，发挥资金使用最大效益。具体的绩效指标如表1：</w:t>
      </w:r>
    </w:p>
    <w:p>
      <w:pPr>
        <w:spacing w:line="360" w:lineRule="auto"/>
        <w:ind w:firstLine="641"/>
        <w:jc w:val="center"/>
        <w:rPr>
          <w:rFonts w:ascii="黑体" w:hAnsi="黑体" w:eastAsia="黑体" w:cs="仿宋_GB2312"/>
          <w:bCs/>
          <w:sz w:val="24"/>
          <w:szCs w:val="24"/>
        </w:rPr>
      </w:pPr>
      <w:r>
        <w:rPr>
          <w:rFonts w:hint="eastAsia" w:ascii="黑体" w:hAnsi="黑体" w:eastAsia="黑体" w:cs="仿宋_GB2312"/>
          <w:bCs/>
          <w:sz w:val="24"/>
          <w:szCs w:val="24"/>
        </w:rPr>
        <w:t>表1   医疗服务与保障能力提升绩效目标申报表</w:t>
      </w:r>
    </w:p>
    <w:tbl>
      <w:tblPr>
        <w:tblStyle w:val="12"/>
        <w:tblW w:w="9060" w:type="dxa"/>
        <w:tblInd w:w="0" w:type="dxa"/>
        <w:tblLayout w:type="fixed"/>
        <w:tblCellMar>
          <w:top w:w="0" w:type="dxa"/>
          <w:left w:w="108" w:type="dxa"/>
          <w:bottom w:w="0" w:type="dxa"/>
          <w:right w:w="108" w:type="dxa"/>
        </w:tblCellMar>
      </w:tblPr>
      <w:tblGrid>
        <w:gridCol w:w="1778"/>
        <w:gridCol w:w="1709"/>
        <w:gridCol w:w="3968"/>
        <w:gridCol w:w="1605"/>
      </w:tblGrid>
      <w:tr>
        <w:tblPrEx>
          <w:tblLayout w:type="fixed"/>
          <w:tblCellMar>
            <w:top w:w="0" w:type="dxa"/>
            <w:left w:w="108" w:type="dxa"/>
            <w:bottom w:w="0" w:type="dxa"/>
            <w:right w:w="108" w:type="dxa"/>
          </w:tblCellMar>
        </w:tblPrEx>
        <w:trPr>
          <w:trHeight w:val="381" w:hRule="atLeast"/>
          <w:tblHeader/>
        </w:trPr>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一级指标</w:t>
            </w:r>
          </w:p>
        </w:tc>
        <w:tc>
          <w:tcPr>
            <w:tcW w:w="1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二级指标</w:t>
            </w:r>
          </w:p>
        </w:tc>
        <w:tc>
          <w:tcPr>
            <w:tcW w:w="3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三级指标</w:t>
            </w:r>
          </w:p>
        </w:tc>
        <w:tc>
          <w:tcPr>
            <w:tcW w:w="16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指标值</w:t>
            </w:r>
          </w:p>
        </w:tc>
      </w:tr>
      <w:tr>
        <w:tblPrEx>
          <w:tblLayout w:type="fixed"/>
          <w:tblCellMar>
            <w:top w:w="0" w:type="dxa"/>
            <w:left w:w="108" w:type="dxa"/>
            <w:bottom w:w="0" w:type="dxa"/>
            <w:right w:w="108" w:type="dxa"/>
          </w:tblCellMar>
        </w:tblPrEx>
        <w:trPr>
          <w:trHeight w:val="396" w:hRule="atLeast"/>
        </w:trPr>
        <w:tc>
          <w:tcPr>
            <w:tcW w:w="1778"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产出指标</w:t>
            </w:r>
          </w:p>
        </w:tc>
        <w:tc>
          <w:tcPr>
            <w:tcW w:w="170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数量指标</w:t>
            </w: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医保信息系统正常运行率</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r>
      <w:tr>
        <w:tblPrEx>
          <w:tblLayout w:type="fixed"/>
          <w:tblCellMar>
            <w:top w:w="0" w:type="dxa"/>
            <w:left w:w="108" w:type="dxa"/>
            <w:bottom w:w="0" w:type="dxa"/>
            <w:right w:w="108" w:type="dxa"/>
          </w:tblCellMar>
        </w:tblPrEx>
        <w:trPr>
          <w:trHeight w:val="842" w:hRule="atLeast"/>
        </w:trPr>
        <w:tc>
          <w:tcPr>
            <w:tcW w:w="177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医保信息系统重大安全事件响应时间</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≤60分钟</w:t>
            </w:r>
          </w:p>
        </w:tc>
      </w:tr>
      <w:tr>
        <w:tblPrEx>
          <w:tblLayout w:type="fixed"/>
          <w:tblCellMar>
            <w:top w:w="0" w:type="dxa"/>
            <w:left w:w="108" w:type="dxa"/>
            <w:bottom w:w="0" w:type="dxa"/>
            <w:right w:w="108" w:type="dxa"/>
          </w:tblCellMar>
        </w:tblPrEx>
        <w:trPr>
          <w:trHeight w:val="556" w:hRule="atLeast"/>
        </w:trPr>
        <w:tc>
          <w:tcPr>
            <w:tcW w:w="177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定点医药机构监督检查覆盖率</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r>
      <w:tr>
        <w:tblPrEx>
          <w:tblLayout w:type="fixed"/>
          <w:tblCellMar>
            <w:top w:w="0" w:type="dxa"/>
            <w:left w:w="108" w:type="dxa"/>
            <w:bottom w:w="0" w:type="dxa"/>
            <w:right w:w="108" w:type="dxa"/>
          </w:tblCellMar>
        </w:tblPrEx>
        <w:trPr>
          <w:trHeight w:val="495" w:hRule="atLeast"/>
        </w:trPr>
        <w:tc>
          <w:tcPr>
            <w:tcW w:w="177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医保人才培养合格率</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r>
      <w:tr>
        <w:tblPrEx>
          <w:tblLayout w:type="fixed"/>
          <w:tblCellMar>
            <w:top w:w="0" w:type="dxa"/>
            <w:left w:w="108" w:type="dxa"/>
            <w:bottom w:w="0" w:type="dxa"/>
            <w:right w:w="108" w:type="dxa"/>
          </w:tblCellMar>
        </w:tblPrEx>
        <w:trPr>
          <w:trHeight w:val="700" w:hRule="atLeast"/>
        </w:trPr>
        <w:tc>
          <w:tcPr>
            <w:tcW w:w="177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推行医保支付方式改革和DRG试点</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逐步推开</w:t>
            </w:r>
          </w:p>
        </w:tc>
      </w:tr>
      <w:tr>
        <w:tblPrEx>
          <w:tblLayout w:type="fixed"/>
          <w:tblCellMar>
            <w:top w:w="0" w:type="dxa"/>
            <w:left w:w="108" w:type="dxa"/>
            <w:bottom w:w="0" w:type="dxa"/>
            <w:right w:w="108" w:type="dxa"/>
          </w:tblCellMar>
        </w:tblPrEx>
        <w:trPr>
          <w:trHeight w:val="555" w:hRule="atLeast"/>
        </w:trPr>
        <w:tc>
          <w:tcPr>
            <w:tcW w:w="177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709"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时效指标</w:t>
            </w: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DRG试点进展模拟运行时间</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不晚于12月底</w:t>
            </w:r>
          </w:p>
        </w:tc>
      </w:tr>
      <w:tr>
        <w:tblPrEx>
          <w:tblLayout w:type="fixed"/>
          <w:tblCellMar>
            <w:top w:w="0" w:type="dxa"/>
            <w:left w:w="108" w:type="dxa"/>
            <w:bottom w:w="0" w:type="dxa"/>
            <w:right w:w="108" w:type="dxa"/>
          </w:tblCellMar>
        </w:tblPrEx>
        <w:trPr>
          <w:trHeight w:val="549" w:hRule="atLeast"/>
        </w:trPr>
        <w:tc>
          <w:tcPr>
            <w:tcW w:w="1778"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效益指标</w:t>
            </w:r>
          </w:p>
        </w:tc>
        <w:tc>
          <w:tcPr>
            <w:tcW w:w="170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社会效益指标</w:t>
            </w: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参保群众政策知晓率</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普遍知晓</w:t>
            </w:r>
          </w:p>
        </w:tc>
      </w:tr>
      <w:tr>
        <w:tblPrEx>
          <w:tblLayout w:type="fixed"/>
          <w:tblCellMar>
            <w:top w:w="0" w:type="dxa"/>
            <w:left w:w="108" w:type="dxa"/>
            <w:bottom w:w="0" w:type="dxa"/>
            <w:right w:w="108" w:type="dxa"/>
          </w:tblCellMar>
        </w:tblPrEx>
        <w:trPr>
          <w:trHeight w:val="415" w:hRule="atLeast"/>
        </w:trPr>
        <w:tc>
          <w:tcPr>
            <w:tcW w:w="177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跨省异地就医直接结算率</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有所提高</w:t>
            </w:r>
          </w:p>
        </w:tc>
      </w:tr>
      <w:tr>
        <w:tblPrEx>
          <w:tblLayout w:type="fixed"/>
          <w:tblCellMar>
            <w:top w:w="0" w:type="dxa"/>
            <w:left w:w="108" w:type="dxa"/>
            <w:bottom w:w="0" w:type="dxa"/>
            <w:right w:w="108" w:type="dxa"/>
          </w:tblCellMar>
        </w:tblPrEx>
        <w:trPr>
          <w:trHeight w:val="704" w:hRule="atLeast"/>
        </w:trPr>
        <w:tc>
          <w:tcPr>
            <w:tcW w:w="177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满意度指标</w:t>
            </w:r>
          </w:p>
        </w:tc>
        <w:tc>
          <w:tcPr>
            <w:tcW w:w="1709"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服务对象满意度指标</w:t>
            </w:r>
          </w:p>
        </w:tc>
        <w:tc>
          <w:tcPr>
            <w:tcW w:w="3968"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参保人员对医保服务的满意度</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r>
    </w:tbl>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二、绩效目标完成情况分析</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（一）资金投入情况分析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1.项目资金安排情况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按照中央和省级要求，</w:t>
      </w:r>
      <w:r>
        <w:rPr>
          <w:rFonts w:ascii="仿宋" w:hAnsi="仿宋" w:eastAsia="仿宋" w:cs="仿宋_GB2312"/>
          <w:color w:val="000000"/>
          <w:sz w:val="30"/>
          <w:szCs w:val="30"/>
        </w:rPr>
        <w:t>20</w:t>
      </w:r>
      <w:r>
        <w:rPr>
          <w:rFonts w:hint="eastAsia" w:ascii="仿宋" w:hAnsi="仿宋" w:eastAsia="仿宋" w:cs="仿宋_GB2312"/>
          <w:color w:val="000000"/>
          <w:sz w:val="30"/>
          <w:szCs w:val="30"/>
        </w:rPr>
        <w:t>20年共安排医疗服务与保障能力提升补助资金12,694万元，共计到位12,694万元。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2.项目资金执行情况</w:t>
      </w:r>
    </w:p>
    <w:p>
      <w:pPr>
        <w:spacing w:line="579"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t>20</w:t>
      </w:r>
      <w:r>
        <w:rPr>
          <w:rFonts w:hint="eastAsia" w:ascii="仿宋" w:hAnsi="仿宋" w:eastAsia="仿宋" w:cs="仿宋_GB2312"/>
          <w:color w:val="000000"/>
          <w:sz w:val="30"/>
          <w:szCs w:val="30"/>
        </w:rPr>
        <w:t>20年全省共支出医疗服务与保障能力提升补助资金（医疗保障服务能力提升部分）325.82万元，结转结余资金</w:t>
      </w:r>
      <w:r>
        <w:rPr>
          <w:rFonts w:ascii="仿宋" w:hAnsi="仿宋" w:eastAsia="仿宋" w:cs="仿宋_GB2312"/>
          <w:color w:val="000000"/>
          <w:sz w:val="30"/>
          <w:szCs w:val="30"/>
        </w:rPr>
        <w:t>12</w:t>
      </w:r>
      <w:r>
        <w:rPr>
          <w:rFonts w:hint="eastAsia" w:ascii="仿宋" w:hAnsi="仿宋" w:eastAsia="仿宋" w:cs="仿宋_GB2312"/>
          <w:color w:val="000000"/>
          <w:sz w:val="30"/>
          <w:szCs w:val="30"/>
        </w:rPr>
        <w:t>,</w:t>
      </w:r>
      <w:r>
        <w:rPr>
          <w:rFonts w:ascii="仿宋" w:hAnsi="仿宋" w:eastAsia="仿宋" w:cs="仿宋_GB2312"/>
          <w:color w:val="000000"/>
          <w:sz w:val="30"/>
          <w:szCs w:val="30"/>
        </w:rPr>
        <w:t>368.18万元</w:t>
      </w:r>
      <w:r>
        <w:rPr>
          <w:rFonts w:hint="eastAsia" w:ascii="仿宋" w:hAnsi="仿宋" w:eastAsia="仿宋" w:cs="仿宋_GB2312"/>
          <w:color w:val="000000"/>
          <w:sz w:val="30"/>
          <w:szCs w:val="30"/>
        </w:rPr>
        <w:t>，预算执行率2.57%。资金结余过大的原因为：由于云南省“智慧医保”二期招标采购工作还在推进，采购程序尚未办理完毕。资金使用符合财经法规和有关专项资金管理办法，有完整的审批程序和手续，未发生截留、挤占、挪用、虚列支出等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3.项目资金管理情况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为规范医疗服务与保障能力提升补助资金的管理和使用，提高使用效益，根据《国务院关于整合医疗服务与保障能力提升制度的意见》（国发〔</w:t>
      </w:r>
      <w:r>
        <w:rPr>
          <w:rFonts w:ascii="仿宋" w:hAnsi="仿宋" w:eastAsia="仿宋" w:cs="仿宋_GB2312"/>
          <w:color w:val="000000"/>
          <w:sz w:val="30"/>
          <w:szCs w:val="30"/>
        </w:rPr>
        <w:t>2016</w:t>
      </w:r>
      <w:r>
        <w:rPr>
          <w:rFonts w:hint="eastAsia" w:ascii="仿宋" w:hAnsi="仿宋" w:eastAsia="仿宋" w:cs="仿宋_GB2312"/>
          <w:color w:val="000000"/>
          <w:sz w:val="30"/>
          <w:szCs w:val="30"/>
        </w:rPr>
        <w:t>〕</w:t>
      </w:r>
      <w:r>
        <w:rPr>
          <w:rFonts w:ascii="仿宋" w:hAnsi="仿宋" w:eastAsia="仿宋" w:cs="仿宋_GB2312"/>
          <w:color w:val="000000"/>
          <w:sz w:val="30"/>
          <w:szCs w:val="30"/>
        </w:rPr>
        <w:t>3</w:t>
      </w:r>
      <w:r>
        <w:rPr>
          <w:rFonts w:hint="eastAsia" w:ascii="仿宋" w:hAnsi="仿宋" w:eastAsia="仿宋" w:cs="仿宋_GB2312"/>
          <w:color w:val="000000"/>
          <w:sz w:val="30"/>
          <w:szCs w:val="30"/>
        </w:rPr>
        <w:t>号）、《云南省人民政府关于整合医疗服务与保障能力提升制度的实施意见》（云政发〔</w:t>
      </w:r>
      <w:r>
        <w:rPr>
          <w:rFonts w:ascii="仿宋" w:hAnsi="仿宋" w:eastAsia="仿宋" w:cs="仿宋_GB2312"/>
          <w:color w:val="000000"/>
          <w:sz w:val="30"/>
          <w:szCs w:val="30"/>
        </w:rPr>
        <w:t>2016</w:t>
      </w:r>
      <w:r>
        <w:rPr>
          <w:rFonts w:hint="eastAsia" w:ascii="仿宋" w:hAnsi="仿宋" w:eastAsia="仿宋" w:cs="仿宋_GB2312"/>
          <w:color w:val="000000"/>
          <w:sz w:val="30"/>
          <w:szCs w:val="30"/>
        </w:rPr>
        <w:t>〕</w:t>
      </w:r>
      <w:r>
        <w:rPr>
          <w:rFonts w:ascii="仿宋" w:hAnsi="仿宋" w:eastAsia="仿宋" w:cs="仿宋_GB2312"/>
          <w:color w:val="000000"/>
          <w:sz w:val="30"/>
          <w:szCs w:val="30"/>
        </w:rPr>
        <w:t>72</w:t>
      </w:r>
      <w:r>
        <w:rPr>
          <w:rFonts w:hint="eastAsia" w:ascii="仿宋" w:hAnsi="仿宋" w:eastAsia="仿宋" w:cs="仿宋_GB2312"/>
          <w:color w:val="000000"/>
          <w:sz w:val="30"/>
          <w:szCs w:val="30"/>
        </w:rPr>
        <w:t>号）文件要求严格资金管理和经费使用。</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（二）总体绩效目标完成情况分析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度总体绩效目标已经基本完成。通过项目实施，全省一部信息化水平得到提升，切实加强了网络、信息安全、基础设施等方面建设，进一步夯实了技术基础，保障了医保信息系统高效、安全运行，提高了数据采集质量和速度；增强了打击欺诈骗保工作力度，切实保障医保基金合理有效使用；加快推进了医保支付方式改革和D</w:t>
      </w:r>
      <w:r>
        <w:rPr>
          <w:rFonts w:ascii="仿宋" w:hAnsi="仿宋" w:eastAsia="仿宋" w:cs="仿宋_GB2312"/>
          <w:color w:val="000000"/>
          <w:sz w:val="30"/>
          <w:szCs w:val="30"/>
        </w:rPr>
        <w:t>RG</w:t>
      </w:r>
      <w:r>
        <w:rPr>
          <w:rFonts w:hint="eastAsia" w:ascii="仿宋" w:hAnsi="仿宋" w:eastAsia="仿宋" w:cs="仿宋_GB2312"/>
          <w:color w:val="000000"/>
          <w:sz w:val="30"/>
          <w:szCs w:val="30"/>
        </w:rPr>
        <w:t>试点工作；综合监管、宣传引导、经办服务、人才队伍建设等医疗保障服务能力得到了有效提升。</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（三）绩效指标完成情况分析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1.产出指标完成情况分析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（1）数量指标</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①医保信息系统正常运行率：计划不低于90%，实际正常运行率达到了100</w:t>
      </w:r>
      <w:r>
        <w:rPr>
          <w:rFonts w:ascii="仿宋" w:hAnsi="仿宋" w:eastAsia="仿宋" w:cs="仿宋_GB2312"/>
          <w:color w:val="000000"/>
          <w:sz w:val="30"/>
          <w:szCs w:val="30"/>
        </w:rPr>
        <w:t>%。</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②医保信息系统重大安全事件响应时间：计划不超过60分钟，信息系统发生重点安全事件做出响应的实际时间为10分钟。</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③定点医药机构监督检查覆盖率：计划达到</w:t>
      </w:r>
      <w:r>
        <w:rPr>
          <w:rFonts w:ascii="仿宋" w:hAnsi="仿宋" w:eastAsia="仿宋" w:cs="仿宋_GB2312"/>
          <w:color w:val="000000"/>
          <w:sz w:val="30"/>
          <w:szCs w:val="30"/>
        </w:rPr>
        <w:t>100%</w:t>
      </w:r>
      <w:r>
        <w:rPr>
          <w:rFonts w:hint="eastAsia" w:ascii="仿宋" w:hAnsi="仿宋" w:eastAsia="仿宋" w:cs="仿宋_GB2312"/>
          <w:color w:val="000000"/>
          <w:sz w:val="30"/>
          <w:szCs w:val="30"/>
        </w:rPr>
        <w:t>。2020年在“打击欺诈骗保专项治理”活动期间，共检查定点医药机构33060家，处理违规定点医药机构17864家。其中，暂停医保服务协议280家，解除医保服务协议92家，移交司法机关4家，行政处罚97家。监督检查覆盖率达到100%。</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④医保人才培养合格率：计划不低于</w:t>
      </w:r>
      <w:r>
        <w:rPr>
          <w:rFonts w:ascii="仿宋" w:hAnsi="仿宋" w:eastAsia="仿宋" w:cs="仿宋_GB2312"/>
          <w:color w:val="000000"/>
          <w:sz w:val="30"/>
          <w:szCs w:val="30"/>
        </w:rPr>
        <w:t>90%</w:t>
      </w:r>
      <w:r>
        <w:rPr>
          <w:rFonts w:hint="eastAsia" w:ascii="仿宋" w:hAnsi="仿宋" w:eastAsia="仿宋" w:cs="仿宋_GB2312"/>
          <w:color w:val="000000"/>
          <w:sz w:val="30"/>
          <w:szCs w:val="30"/>
        </w:rPr>
        <w:t>，实际合格率达到</w:t>
      </w:r>
      <w:r>
        <w:rPr>
          <w:rFonts w:ascii="仿宋" w:hAnsi="仿宋" w:eastAsia="仿宋" w:cs="仿宋_GB2312"/>
          <w:color w:val="000000"/>
          <w:sz w:val="30"/>
          <w:szCs w:val="30"/>
        </w:rPr>
        <w:t>100%。</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⑤推行医保支付方式改革和DRG试点：</w:t>
      </w:r>
      <w:r>
        <w:rPr>
          <w:rFonts w:hint="eastAsia" w:ascii="仿宋" w:hAnsi="仿宋" w:eastAsia="仿宋" w:cs="仿宋_GB2312"/>
          <w:color w:val="000000"/>
          <w:sz w:val="30"/>
          <w:szCs w:val="30"/>
          <w:lang w:val="en-US" w:eastAsia="zh-CN"/>
        </w:rPr>
        <w:t>DRG付费、区域点数法预算和按病种分值付费列入国家试点，积极支持紧密型医共体建设，全省41个县（市、区）全面启动打包付费改革。</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（2）时效指标</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DRG试点进展模拟运行时间：不晚于12月底，实际未晚于12月底。</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2.社会效益指标完成情况分析</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（1）参保群众政策知晓率：计划不低于80%，达到普遍知晓，实际利用传统媒体和新媒体等多种渠道，因地制宜开展政策宣传，提升社会公众政策知晓率。我省政策参保对象知晓率超过80%。</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跨省异地就医直接结算率：计划有所提升，实际省内异地就医联网直接结算提供服务的协议医药机构、接入国家跨省异地就医联网直接结算平台的定点医疗机构较上度有所增加，跨省异地就医直接结算已实县域全覆盖，就医需求延伸到乡镇卫生院，使更多的参保人享受到异地结算系统带来的便利。</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3.满意度指标完成情况分析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参保人员对医保服务的满意度：计划不低于90</w:t>
      </w:r>
      <w:r>
        <w:rPr>
          <w:rFonts w:ascii="仿宋" w:hAnsi="仿宋" w:eastAsia="仿宋" w:cs="仿宋_GB2312"/>
          <w:color w:val="000000"/>
          <w:sz w:val="30"/>
          <w:szCs w:val="30"/>
        </w:rPr>
        <w:t>%</w:t>
      </w:r>
      <w:r>
        <w:rPr>
          <w:rFonts w:hint="eastAsia" w:ascii="仿宋" w:hAnsi="仿宋" w:eastAsia="仿宋" w:cs="仿宋_GB2312"/>
          <w:color w:val="000000"/>
          <w:sz w:val="30"/>
          <w:szCs w:val="30"/>
        </w:rPr>
        <w:t>，对云南省社保受益群众开展满意度调查，共发放问卷5168份，剔除不了解</w:t>
      </w:r>
      <w:r>
        <w:rPr>
          <w:rFonts w:ascii="仿宋" w:hAnsi="仿宋" w:eastAsia="仿宋" w:cs="仿宋_GB2312"/>
          <w:color w:val="000000"/>
          <w:sz w:val="30"/>
          <w:szCs w:val="30"/>
        </w:rPr>
        <w:t>城乡居民基本医疗保险政策的问卷</w:t>
      </w:r>
      <w:r>
        <w:rPr>
          <w:rFonts w:hint="eastAsia" w:ascii="仿宋" w:hAnsi="仿宋" w:eastAsia="仿宋" w:cs="仿宋_GB2312"/>
          <w:color w:val="000000"/>
          <w:sz w:val="30"/>
          <w:szCs w:val="30"/>
        </w:rPr>
        <w:t>，实际有效回收4796份，问卷有效回收率92.80</w:t>
      </w:r>
      <w:r>
        <w:rPr>
          <w:rFonts w:ascii="仿宋" w:hAnsi="仿宋" w:eastAsia="仿宋" w:cs="仿宋_GB2312"/>
          <w:color w:val="000000"/>
          <w:sz w:val="30"/>
          <w:szCs w:val="30"/>
        </w:rPr>
        <w:t>%</w:t>
      </w:r>
      <w:r>
        <w:rPr>
          <w:rFonts w:hint="eastAsia" w:ascii="仿宋" w:hAnsi="仿宋" w:eastAsia="仿宋" w:cs="仿宋_GB2312"/>
          <w:color w:val="000000"/>
          <w:sz w:val="30"/>
          <w:szCs w:val="30"/>
        </w:rPr>
        <w:t>，满意度为96.87%。</w:t>
      </w:r>
    </w:p>
    <w:p>
      <w:pPr>
        <w:numPr>
          <w:ilvl w:val="0"/>
          <w:numId w:val="1"/>
        </w:numPr>
        <w:spacing w:line="579" w:lineRule="exact"/>
        <w:ind w:firstLine="600" w:firstLineChars="200"/>
        <w:outlineLvl w:val="0"/>
        <w:rPr>
          <w:rFonts w:hint="eastAsia" w:ascii="黑体" w:hAnsi="黑体" w:eastAsia="黑体" w:cs="方正黑体_GBK"/>
          <w:color w:val="000000"/>
          <w:sz w:val="30"/>
          <w:szCs w:val="30"/>
        </w:rPr>
      </w:pPr>
      <w:r>
        <w:rPr>
          <w:rFonts w:hint="eastAsia" w:ascii="黑体" w:hAnsi="黑体" w:eastAsia="黑体" w:cs="方正黑体_GBK"/>
          <w:color w:val="000000"/>
          <w:sz w:val="30"/>
          <w:szCs w:val="30"/>
        </w:rPr>
        <w:t>偏离目标的原因和下一步改进措施</w:t>
      </w:r>
    </w:p>
    <w:p>
      <w:pPr>
        <w:numPr>
          <w:ilvl w:val="0"/>
          <w:numId w:val="0"/>
        </w:numPr>
        <w:spacing w:line="579" w:lineRule="exact"/>
        <w:outlineLvl w:val="0"/>
        <w:rPr>
          <w:rFonts w:hint="default" w:ascii="黑体" w:hAnsi="黑体" w:eastAsia="黑体" w:cs="方正黑体_GBK"/>
          <w:color w:val="000000"/>
          <w:sz w:val="30"/>
          <w:szCs w:val="30"/>
          <w:lang w:val="en-US" w:eastAsia="zh-CN"/>
        </w:rPr>
      </w:pPr>
      <w:r>
        <w:rPr>
          <w:rFonts w:hint="eastAsia" w:ascii="黑体" w:hAnsi="黑体" w:eastAsia="黑体" w:cs="方正黑体_GBK"/>
          <w:color w:val="000000"/>
          <w:sz w:val="30"/>
          <w:szCs w:val="30"/>
          <w:lang w:val="en-US" w:eastAsia="zh-CN"/>
        </w:rPr>
        <w:t xml:space="preserve">   </w:t>
      </w:r>
      <w:r>
        <w:rPr>
          <w:rFonts w:hint="eastAsia" w:ascii="仿宋" w:hAnsi="仿宋" w:eastAsia="仿宋" w:cs="仿宋_GB2312"/>
          <w:color w:val="000000"/>
          <w:sz w:val="30"/>
          <w:szCs w:val="30"/>
        </w:rPr>
        <w:t>由于云南省“智慧医保”二期招标采购工作还在推进，采购程序尚未办理完毕</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预算执行进度较慢。针对此情况，省医保局已制定具体措施，加快推进项目建设。针对上述情况，此项目扣5分。</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四、绩效自评结果拟应用和公开情况</w:t>
      </w:r>
    </w:p>
    <w:p>
      <w:pPr>
        <w:spacing w:line="579" w:lineRule="exact"/>
        <w:ind w:firstLine="640" w:firstLineChars="200"/>
        <w:outlineLvl w:val="0"/>
        <w:rPr>
          <w:rFonts w:ascii="楷体" w:hAnsi="楷体" w:eastAsia="楷体" w:cs="楷体_GB2312"/>
          <w:color w:val="000000"/>
          <w:sz w:val="32"/>
          <w:szCs w:val="32"/>
        </w:rPr>
      </w:pPr>
      <w:r>
        <w:rPr>
          <w:rFonts w:hint="eastAsia" w:ascii="楷体" w:hAnsi="楷体" w:eastAsia="楷体" w:cs="楷体_GB2312"/>
          <w:color w:val="000000"/>
          <w:sz w:val="32"/>
          <w:szCs w:val="32"/>
        </w:rPr>
        <w:t>（一）自评结果</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通过认真组织实施医疗服务与保障能力提升补助政策，并对中央转移支付资金开展绩效自评工作，如期完成了年度绩效目标。最终，自评得分为</w:t>
      </w:r>
      <w:r>
        <w:rPr>
          <w:rFonts w:hint="eastAsia" w:ascii="仿宋" w:hAnsi="仿宋" w:eastAsia="仿宋" w:cs="仿宋_GB2312"/>
          <w:color w:val="000000"/>
          <w:sz w:val="30"/>
          <w:szCs w:val="30"/>
          <w:lang w:val="en-US" w:eastAsia="zh-CN"/>
        </w:rPr>
        <w:t>95</w:t>
      </w:r>
      <w:r>
        <w:rPr>
          <w:rFonts w:hint="eastAsia" w:ascii="仿宋" w:hAnsi="仿宋" w:eastAsia="仿宋" w:cs="仿宋_GB2312"/>
          <w:color w:val="000000"/>
          <w:sz w:val="30"/>
          <w:szCs w:val="30"/>
        </w:rPr>
        <w:t>分，自评结果为“优”。</w:t>
      </w:r>
      <w:r>
        <w:rPr>
          <w:rFonts w:ascii="仿宋" w:hAnsi="仿宋" w:eastAsia="仿宋" w:cs="仿宋_GB2312"/>
          <w:color w:val="000000"/>
          <w:sz w:val="30"/>
          <w:szCs w:val="30"/>
        </w:rPr>
        <w:t>针对</w:t>
      </w:r>
      <w:r>
        <w:rPr>
          <w:rFonts w:hint="eastAsia" w:ascii="仿宋" w:hAnsi="仿宋" w:eastAsia="仿宋" w:cs="仿宋_GB2312"/>
          <w:color w:val="000000"/>
          <w:sz w:val="30"/>
          <w:szCs w:val="30"/>
        </w:rPr>
        <w:t>我省</w:t>
      </w:r>
      <w:r>
        <w:rPr>
          <w:rFonts w:ascii="仿宋" w:hAnsi="仿宋" w:eastAsia="仿宋" w:cs="仿宋_GB2312"/>
          <w:color w:val="000000"/>
          <w:sz w:val="30"/>
          <w:szCs w:val="30"/>
        </w:rPr>
        <w:t>绩效自评中存在的问题，及时</w:t>
      </w:r>
      <w:r>
        <w:rPr>
          <w:rFonts w:hint="eastAsia" w:ascii="仿宋" w:hAnsi="仿宋" w:eastAsia="仿宋" w:cs="仿宋_GB2312"/>
          <w:color w:val="000000"/>
          <w:sz w:val="30"/>
          <w:szCs w:val="30"/>
        </w:rPr>
        <w:t>寻找</w:t>
      </w:r>
      <w:r>
        <w:rPr>
          <w:rFonts w:ascii="仿宋" w:hAnsi="仿宋" w:eastAsia="仿宋" w:cs="仿宋_GB2312"/>
          <w:color w:val="000000"/>
          <w:sz w:val="30"/>
          <w:szCs w:val="30"/>
        </w:rPr>
        <w:t>合理</w:t>
      </w:r>
      <w:r>
        <w:rPr>
          <w:rFonts w:hint="eastAsia" w:ascii="仿宋" w:hAnsi="仿宋" w:eastAsia="仿宋" w:cs="仿宋_GB2312"/>
          <w:color w:val="000000"/>
          <w:sz w:val="30"/>
          <w:szCs w:val="30"/>
        </w:rPr>
        <w:t>解决办法，落实相关改革情况。对于未达到预期绩效目标的情况应详尽分析其原因，及时做出应对措施，</w:t>
      </w:r>
      <w:r>
        <w:rPr>
          <w:rFonts w:ascii="仿宋" w:hAnsi="仿宋" w:eastAsia="仿宋" w:cs="仿宋_GB2312"/>
          <w:color w:val="000000"/>
          <w:sz w:val="30"/>
          <w:szCs w:val="30"/>
        </w:rPr>
        <w:t>切实提高财政资金使用效益和效率。</w:t>
      </w:r>
    </w:p>
    <w:p>
      <w:pPr>
        <w:spacing w:line="579" w:lineRule="exact"/>
        <w:ind w:firstLine="640" w:firstLineChars="200"/>
        <w:outlineLvl w:val="0"/>
        <w:rPr>
          <w:rFonts w:ascii="楷体" w:hAnsi="楷体" w:eastAsia="楷体" w:cs="楷体_GB2312"/>
          <w:color w:val="000000"/>
          <w:sz w:val="32"/>
          <w:szCs w:val="32"/>
        </w:rPr>
      </w:pPr>
      <w:r>
        <w:rPr>
          <w:rFonts w:hint="eastAsia" w:ascii="楷体" w:hAnsi="楷体" w:eastAsia="楷体" w:cs="楷体_GB2312"/>
          <w:color w:val="000000"/>
          <w:sz w:val="32"/>
          <w:szCs w:val="32"/>
        </w:rPr>
        <w:t>（二）自评结果运用</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与下一年度预算安排结合，本次自评结果作为下一年度预算的重要依据，对于合理安排下一年度预算起到关键作用。</w:t>
      </w:r>
    </w:p>
    <w:p>
      <w:pPr>
        <w:spacing w:line="579" w:lineRule="exact"/>
        <w:ind w:firstLine="640" w:firstLineChars="200"/>
        <w:outlineLvl w:val="0"/>
        <w:rPr>
          <w:rFonts w:ascii="楷体" w:hAnsi="楷体" w:eastAsia="楷体" w:cs="楷体_GB2312"/>
          <w:color w:val="000000"/>
          <w:sz w:val="32"/>
          <w:szCs w:val="32"/>
        </w:rPr>
      </w:pPr>
      <w:r>
        <w:rPr>
          <w:rFonts w:hint="eastAsia" w:ascii="楷体" w:hAnsi="楷体" w:eastAsia="楷体" w:cs="楷体_GB2312"/>
          <w:color w:val="000000"/>
          <w:sz w:val="32"/>
          <w:szCs w:val="32"/>
        </w:rPr>
        <w:t>（三）自评结果公开情况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绩效自评结果将通过“云南省医疗保障局官网”进行公开。</w:t>
      </w:r>
    </w:p>
    <w:p>
      <w:pPr>
        <w:spacing w:line="579" w:lineRule="exact"/>
        <w:ind w:firstLine="640" w:firstLineChars="200"/>
        <w:outlineLvl w:val="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五、其他需要说明的问题</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无。</w:t>
      </w:r>
    </w:p>
    <w:p>
      <w:pPr>
        <w:spacing w:line="579" w:lineRule="exact"/>
        <w:ind w:firstLine="600" w:firstLineChars="200"/>
        <w:rPr>
          <w:rFonts w:ascii="仿宋" w:hAnsi="仿宋" w:eastAsia="仿宋" w:cs="仿宋_GB2312"/>
          <w:color w:val="000000"/>
          <w:sz w:val="30"/>
          <w:szCs w:val="30"/>
        </w:rPr>
      </w:pPr>
    </w:p>
    <w:p>
      <w:pPr>
        <w:widowControl/>
        <w:spacing w:line="600" w:lineRule="exact"/>
        <w:ind w:firstLine="640" w:firstLineChars="200"/>
        <w:jc w:val="left"/>
        <w:rPr>
          <w:rFonts w:ascii="Times New Roman" w:hAnsi="Times New Roman" w:eastAsia="方正仿宋_GBK" w:cs="仿宋_GB2312"/>
          <w:color w:val="000000"/>
          <w:sz w:val="32"/>
          <w:szCs w:val="32"/>
        </w:rPr>
      </w:pPr>
    </w:p>
    <w:p>
      <w:pPr>
        <w:widowControl/>
        <w:spacing w:line="600" w:lineRule="exact"/>
        <w:ind w:firstLine="1920" w:firstLineChars="600"/>
        <w:jc w:val="left"/>
        <w:rPr>
          <w:rFonts w:ascii="Times New Roman" w:hAnsi="Times New Roman" w:eastAsia="方正仿宋_GBK" w:cs="仿宋_GB2312"/>
          <w:color w:val="000000"/>
          <w:sz w:val="32"/>
          <w:szCs w:val="32"/>
        </w:rPr>
      </w:pPr>
    </w:p>
    <w:p>
      <w:pPr>
        <w:widowControl/>
        <w:spacing w:line="600" w:lineRule="exact"/>
        <w:ind w:left="1916" w:leftChars="760" w:hanging="320" w:hangingChars="100"/>
        <w:jc w:val="left"/>
        <w:rPr>
          <w:rFonts w:ascii="Times New Roman" w:hAnsi="Times New Roman" w:eastAsia="方正仿宋_GBK" w:cs="仿宋_GB2312"/>
          <w:color w:val="000000"/>
          <w:sz w:val="32"/>
          <w:szCs w:val="32"/>
        </w:rPr>
      </w:pPr>
    </w:p>
    <w:p>
      <w:pPr>
        <w:spacing w:line="579" w:lineRule="exact"/>
      </w:pPr>
    </w:p>
    <w:sectPr>
      <w:headerReference r:id="rId3" w:type="default"/>
      <w:footerReference r:id="rId4" w:type="default"/>
      <w:pgSz w:w="11906" w:h="16838"/>
      <w:pgMar w:top="2041" w:right="1474" w:bottom="1928"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-140335</wp:posOffset>
              </wp:positionV>
              <wp:extent cx="711835" cy="230505"/>
              <wp:effectExtent l="0" t="0" r="5715" b="10795"/>
              <wp:wrapNone/>
              <wp:docPr id="5" name="文本框 5"/>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wps:spPr>
                    <wps:txbx>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05pt;height:18.15pt;width:56.05pt;mso-position-horizontal:outside;mso-position-horizontal-relative:margin;mso-wrap-style:none;z-index:251659264;mso-width-relative:page;mso-height-relative:page;" filled="f" stroked="f" coordsize="21600,21600" o:gfxdata="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kuNMAAAAHAQAADwAAAAAAAAABACAA&#10;AAAiAAAAZHJzL2Rvd25yZXYueG1sUEsBAhQAFAAAAAgAh07iQFn/dokSAgAABQQAAA4AAAAAAAAA&#10;AQAgAAAAIgEAAGRycy9lMm9Eb2MueG1sUEsFBgAAAAAGAAYAWQEAAKYFAAAAAA==&#10;">
              <v:fill on="f" focussize="0,0"/>
              <v:stroke on="f" weight="0.5pt"/>
              <v:imagedata o:title=""/>
              <o:lock v:ext="edit" aspectratio="f"/>
              <v:textbox inset="0mm,0mm,0mm,0mm" style="mso-fit-shape-to-text:t;">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4C2C0"/>
    <w:multiLevelType w:val="singleLevel"/>
    <w:tmpl w:val="3774C2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B5"/>
    <w:rsid w:val="0005588A"/>
    <w:rsid w:val="000A375A"/>
    <w:rsid w:val="000E64A8"/>
    <w:rsid w:val="001A43EA"/>
    <w:rsid w:val="00241EB5"/>
    <w:rsid w:val="00246658"/>
    <w:rsid w:val="002A2DC5"/>
    <w:rsid w:val="002C3333"/>
    <w:rsid w:val="003604CA"/>
    <w:rsid w:val="003755E5"/>
    <w:rsid w:val="0038208F"/>
    <w:rsid w:val="003E0A9A"/>
    <w:rsid w:val="004A18C2"/>
    <w:rsid w:val="004A2492"/>
    <w:rsid w:val="004C1AAD"/>
    <w:rsid w:val="004C603E"/>
    <w:rsid w:val="004F1292"/>
    <w:rsid w:val="005918CC"/>
    <w:rsid w:val="005F615B"/>
    <w:rsid w:val="006E0393"/>
    <w:rsid w:val="007F2792"/>
    <w:rsid w:val="007F7DBA"/>
    <w:rsid w:val="00812B44"/>
    <w:rsid w:val="00896C26"/>
    <w:rsid w:val="008D2E56"/>
    <w:rsid w:val="009E0FC6"/>
    <w:rsid w:val="00A35EFB"/>
    <w:rsid w:val="00AC33F7"/>
    <w:rsid w:val="00B1166C"/>
    <w:rsid w:val="00B11B4B"/>
    <w:rsid w:val="00B539A3"/>
    <w:rsid w:val="00BB07FA"/>
    <w:rsid w:val="00BB3888"/>
    <w:rsid w:val="00BD2211"/>
    <w:rsid w:val="00BE158F"/>
    <w:rsid w:val="00BE50F1"/>
    <w:rsid w:val="00C6440C"/>
    <w:rsid w:val="00CE64A8"/>
    <w:rsid w:val="00CF6705"/>
    <w:rsid w:val="00D520DA"/>
    <w:rsid w:val="00DB6422"/>
    <w:rsid w:val="00E56FE0"/>
    <w:rsid w:val="00E64F03"/>
    <w:rsid w:val="00E9088F"/>
    <w:rsid w:val="00F3212A"/>
    <w:rsid w:val="00F941A0"/>
    <w:rsid w:val="00F95DD0"/>
    <w:rsid w:val="00FB496D"/>
    <w:rsid w:val="00FC4A0B"/>
    <w:rsid w:val="02215285"/>
    <w:rsid w:val="0AE76A98"/>
    <w:rsid w:val="10402F48"/>
    <w:rsid w:val="138D4930"/>
    <w:rsid w:val="175518BF"/>
    <w:rsid w:val="1C204423"/>
    <w:rsid w:val="23F41A1A"/>
    <w:rsid w:val="24561DBD"/>
    <w:rsid w:val="26B628AB"/>
    <w:rsid w:val="2BD546B5"/>
    <w:rsid w:val="2C423F23"/>
    <w:rsid w:val="2D4E35F2"/>
    <w:rsid w:val="3D2E0A7B"/>
    <w:rsid w:val="3FC32C05"/>
    <w:rsid w:val="404477C5"/>
    <w:rsid w:val="4CA23B92"/>
    <w:rsid w:val="4F7F188B"/>
    <w:rsid w:val="552B0870"/>
    <w:rsid w:val="555142F0"/>
    <w:rsid w:val="5CAE6A6B"/>
    <w:rsid w:val="641D761A"/>
    <w:rsid w:val="64F023B6"/>
    <w:rsid w:val="6FE67DE8"/>
    <w:rsid w:val="731F4568"/>
    <w:rsid w:val="761C31BF"/>
    <w:rsid w:val="77AD0F7D"/>
    <w:rsid w:val="77EF3E9B"/>
    <w:rsid w:val="7A06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仿宋" w:eastAsia="仿宋" w:hAnsiTheme="minorHAnsi" w:cstheme="minorBidi"/>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kern w:val="30"/>
      <w:sz w:val="32"/>
      <w:szCs w:val="32"/>
    </w:rPr>
  </w:style>
  <w:style w:type="character" w:default="1" w:styleId="11">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ascii="宋体" w:hAnsi="宋体" w:cs="宋体"/>
      <w:sz w:val="28"/>
      <w:szCs w:val="28"/>
    </w:rPr>
  </w:style>
  <w:style w:type="paragraph" w:styleId="5">
    <w:name w:val="Date"/>
    <w:basedOn w:val="1"/>
    <w:next w:val="1"/>
    <w:link w:val="22"/>
    <w:unhideWhenUsed/>
    <w:qFormat/>
    <w:uiPriority w:val="99"/>
    <w:pPr>
      <w:ind w:left="100" w:leftChars="2500"/>
    </w:pPr>
    <w:rPr>
      <w:rFonts w:ascii="仿宋" w:eastAsia="仿宋" w:hAnsiTheme="minorHAnsi" w:cstheme="minorBidi"/>
      <w:kern w:val="30"/>
      <w:sz w:val="30"/>
      <w:szCs w:val="20"/>
    </w:rPr>
  </w:style>
  <w:style w:type="paragraph" w:styleId="6">
    <w:name w:val="endnote text"/>
    <w:basedOn w:val="1"/>
    <w:link w:val="21"/>
    <w:unhideWhenUsed/>
    <w:qFormat/>
    <w:uiPriority w:val="99"/>
    <w:pPr>
      <w:snapToGrid w:val="0"/>
      <w:jc w:val="left"/>
    </w:pPr>
    <w:rPr>
      <w:rFonts w:ascii="仿宋" w:eastAsia="仿宋" w:hAnsiTheme="minorHAnsi" w:cstheme="minorBidi"/>
      <w:kern w:val="30"/>
      <w:sz w:val="30"/>
      <w:szCs w:val="20"/>
    </w:rPr>
  </w:style>
  <w:style w:type="paragraph" w:styleId="7">
    <w:name w:val="Balloon Text"/>
    <w:basedOn w:val="1"/>
    <w:link w:val="23"/>
    <w:unhideWhenUsed/>
    <w:qFormat/>
    <w:uiPriority w:val="99"/>
    <w:rPr>
      <w:rFonts w:ascii="仿宋" w:eastAsia="仿宋"/>
      <w:kern w:val="0"/>
      <w:sz w:val="18"/>
      <w:szCs w:val="18"/>
      <w:lang w:val="zh-CN"/>
    </w:rPr>
  </w:style>
  <w:style w:type="paragraph" w:styleId="8">
    <w:name w:val="footer"/>
    <w:basedOn w:val="1"/>
    <w:link w:val="20"/>
    <w:unhideWhenUsed/>
    <w:qFormat/>
    <w:uiPriority w:val="99"/>
    <w:pPr>
      <w:tabs>
        <w:tab w:val="center" w:pos="4153"/>
        <w:tab w:val="right" w:pos="8306"/>
      </w:tabs>
      <w:snapToGrid w:val="0"/>
      <w:jc w:val="left"/>
    </w:pPr>
    <w:rPr>
      <w:rFonts w:ascii="仿宋" w:eastAsia="仿宋" w:hAnsiTheme="minorHAnsi" w:cstheme="minorBidi"/>
      <w:kern w:val="30"/>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仿宋" w:eastAsia="仿宋" w:hAnsiTheme="minorHAnsi" w:cstheme="minorBidi"/>
      <w:kern w:val="3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仿宋" w:cs="宋体"/>
      <w:kern w:val="0"/>
      <w:sz w:val="24"/>
      <w:szCs w:val="24"/>
    </w:rPr>
  </w:style>
  <w:style w:type="table" w:styleId="13">
    <w:name w:val="Table Grid"/>
    <w:basedOn w:val="1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4">
    <w:name w:val="列表段落1"/>
    <w:basedOn w:val="1"/>
    <w:qFormat/>
    <w:uiPriority w:val="99"/>
    <w:pPr>
      <w:ind w:firstLine="420" w:firstLineChars="200"/>
    </w:pPr>
    <w:rPr>
      <w:rFonts w:ascii="仿宋" w:eastAsia="仿宋" w:hAnsiTheme="minorHAnsi" w:cstheme="minorBidi"/>
      <w:kern w:val="30"/>
      <w:sz w:val="30"/>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标题 1 Char"/>
    <w:basedOn w:val="11"/>
    <w:link w:val="2"/>
    <w:qFormat/>
    <w:uiPriority w:val="9"/>
    <w:rPr>
      <w:rFonts w:ascii="仿宋" w:eastAsia="仿宋"/>
      <w:b/>
      <w:bCs/>
      <w:kern w:val="44"/>
      <w:sz w:val="44"/>
      <w:szCs w:val="44"/>
    </w:rPr>
  </w:style>
  <w:style w:type="character" w:customStyle="1" w:styleId="17">
    <w:name w:val="页脚 Char"/>
    <w:qFormat/>
    <w:uiPriority w:val="99"/>
    <w:rPr>
      <w:sz w:val="18"/>
      <w:szCs w:val="18"/>
    </w:rPr>
  </w:style>
  <w:style w:type="character" w:customStyle="1" w:styleId="18">
    <w:name w:val="标题 2 Char"/>
    <w:basedOn w:val="11"/>
    <w:link w:val="3"/>
    <w:qFormat/>
    <w:uiPriority w:val="9"/>
    <w:rPr>
      <w:rFonts w:asciiTheme="majorHAnsi" w:hAnsiTheme="majorHAnsi" w:eastAsiaTheme="majorEastAsia" w:cstheme="majorBidi"/>
      <w:b/>
      <w:bCs/>
      <w:kern w:val="30"/>
      <w:sz w:val="32"/>
      <w:szCs w:val="32"/>
    </w:rPr>
  </w:style>
  <w:style w:type="character" w:customStyle="1" w:styleId="19">
    <w:name w:val="页眉 Char"/>
    <w:basedOn w:val="11"/>
    <w:link w:val="9"/>
    <w:qFormat/>
    <w:uiPriority w:val="99"/>
    <w:rPr>
      <w:rFonts w:ascii="仿宋" w:eastAsia="仿宋"/>
      <w:kern w:val="30"/>
      <w:sz w:val="18"/>
      <w:szCs w:val="18"/>
    </w:rPr>
  </w:style>
  <w:style w:type="character" w:customStyle="1" w:styleId="20">
    <w:name w:val="页脚 Char1"/>
    <w:basedOn w:val="11"/>
    <w:link w:val="8"/>
    <w:qFormat/>
    <w:uiPriority w:val="99"/>
    <w:rPr>
      <w:rFonts w:ascii="仿宋" w:eastAsia="仿宋"/>
      <w:kern w:val="30"/>
      <w:sz w:val="18"/>
      <w:szCs w:val="18"/>
    </w:rPr>
  </w:style>
  <w:style w:type="character" w:customStyle="1" w:styleId="21">
    <w:name w:val="尾注文本 Char"/>
    <w:basedOn w:val="11"/>
    <w:link w:val="6"/>
    <w:qFormat/>
    <w:uiPriority w:val="99"/>
    <w:rPr>
      <w:rFonts w:ascii="仿宋" w:eastAsia="仿宋"/>
      <w:kern w:val="30"/>
      <w:sz w:val="30"/>
    </w:rPr>
  </w:style>
  <w:style w:type="character" w:customStyle="1" w:styleId="22">
    <w:name w:val="日期 Char"/>
    <w:basedOn w:val="11"/>
    <w:link w:val="5"/>
    <w:qFormat/>
    <w:uiPriority w:val="99"/>
    <w:rPr>
      <w:rFonts w:ascii="仿宋" w:eastAsia="仿宋"/>
      <w:kern w:val="30"/>
      <w:sz w:val="30"/>
    </w:rPr>
  </w:style>
  <w:style w:type="character" w:customStyle="1" w:styleId="23">
    <w:name w:val="批注框文本 Char"/>
    <w:link w:val="7"/>
    <w:qFormat/>
    <w:uiPriority w:val="99"/>
    <w:rPr>
      <w:rFonts w:ascii="仿宋" w:hAnsi="Calibri" w:eastAsia="仿宋" w:cs="Times New Roman"/>
      <w:sz w:val="18"/>
      <w:szCs w:val="1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2111</Words>
  <Characters>12033</Characters>
  <Lines>100</Lines>
  <Paragraphs>28</Paragraphs>
  <TotalTime>3</TotalTime>
  <ScaleCrop>false</ScaleCrop>
  <LinksUpToDate>false</LinksUpToDate>
  <CharactersWithSpaces>14116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2021-03-14T08:54:00Z</dcterms:created>
  <dc:creator>李冬玲</dc:creator>
  <cp:lastModifiedBy>李音皎</cp:lastModifiedBy>
  <dcterms:modified xsi:type="dcterms:W3CDTF">2021-12-15T02:33:45Z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