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Times New Roman" w:eastAsia="方正小标宋简体" w:cs="方正小标宋_GBK"/>
          <w:bCs/>
          <w:color w:val="000000"/>
          <w:sz w:val="44"/>
          <w:szCs w:val="36"/>
        </w:rPr>
      </w:pPr>
      <w:bookmarkStart w:id="0" w:name="_GoBack"/>
      <w:bookmarkEnd w:id="0"/>
    </w:p>
    <w:p>
      <w:pPr>
        <w:spacing w:line="579" w:lineRule="exact"/>
        <w:jc w:val="center"/>
        <w:rPr>
          <w:rFonts w:hint="eastAsia" w:ascii="方正小标宋简体" w:hAnsi="Times New Roman" w:eastAsia="方正小标宋简体" w:cs="方正小标宋_GBK"/>
          <w:bCs/>
          <w:color w:val="000000"/>
          <w:sz w:val="44"/>
          <w:szCs w:val="36"/>
        </w:rPr>
      </w:pPr>
      <w:r>
        <w:rPr>
          <w:rFonts w:hint="eastAsia" w:ascii="方正小标宋简体" w:hAnsi="Times New Roman" w:eastAsia="方正小标宋简体" w:cs="方正小标宋_GBK"/>
          <w:bCs/>
          <w:color w:val="000000"/>
          <w:sz w:val="44"/>
          <w:szCs w:val="36"/>
        </w:rPr>
        <w:t>云南省医疗救助补助（城乡医疗救助部分）</w:t>
      </w:r>
    </w:p>
    <w:p>
      <w:pPr>
        <w:spacing w:line="579" w:lineRule="exact"/>
        <w:jc w:val="center"/>
        <w:rPr>
          <w:rFonts w:ascii="方正小标宋简体" w:hAnsi="Times New Roman" w:eastAsia="方正小标宋简体" w:cs="方正小标宋_GBK"/>
          <w:bCs/>
          <w:color w:val="000000"/>
          <w:sz w:val="44"/>
          <w:szCs w:val="36"/>
        </w:rPr>
      </w:pPr>
      <w:r>
        <w:rPr>
          <w:rFonts w:hint="eastAsia" w:ascii="方正小标宋简体" w:hAnsi="Times New Roman" w:eastAsia="方正小标宋简体" w:cs="方正小标宋_GBK"/>
          <w:bCs/>
          <w:color w:val="000000"/>
          <w:sz w:val="44"/>
          <w:szCs w:val="36"/>
        </w:rPr>
        <w:t>中央转移支付资金2020年度</w:t>
      </w:r>
    </w:p>
    <w:p>
      <w:pPr>
        <w:spacing w:line="579" w:lineRule="exact"/>
        <w:jc w:val="center"/>
        <w:rPr>
          <w:rFonts w:ascii="方正小标宋简体" w:hAnsi="Times New Roman" w:eastAsia="方正小标宋简体" w:cs="方正小标宋_GBK"/>
          <w:bCs/>
          <w:color w:val="000000"/>
          <w:sz w:val="44"/>
          <w:szCs w:val="36"/>
        </w:rPr>
      </w:pPr>
      <w:r>
        <w:rPr>
          <w:rFonts w:hint="eastAsia" w:ascii="方正小标宋简体" w:hAnsi="Times New Roman" w:eastAsia="方正小标宋简体" w:cs="方正小标宋_GBK"/>
          <w:bCs/>
          <w:color w:val="000000"/>
          <w:sz w:val="44"/>
          <w:szCs w:val="36"/>
        </w:rPr>
        <w:t>绩效自评报告</w:t>
      </w:r>
    </w:p>
    <w:p>
      <w:pPr>
        <w:pStyle w:val="2"/>
        <w:keepNext w:val="0"/>
        <w:keepLines w:val="0"/>
        <w:spacing w:before="0" w:after="0" w:line="579" w:lineRule="exact"/>
        <w:ind w:firstLine="640" w:firstLineChars="200"/>
        <w:rPr>
          <w:rFonts w:ascii="Times New Roman" w:hAnsi="Times New Roman" w:eastAsia="方正仿宋_GBK" w:cs="Cambria Math"/>
          <w:b w:val="0"/>
          <w:bCs w:val="0"/>
          <w:color w:val="000000"/>
          <w:kern w:val="2"/>
          <w:sz w:val="32"/>
          <w:szCs w:val="32"/>
        </w:rPr>
      </w:pP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一、绩效目标分解下达情况</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（一）中央下达城乡医疗救助资金专项转移支付预算和绩效目标情况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1.中央下达城乡医疗救助资金专项转移支付预算情况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2020年，《财政部 国家医保局关于提前下达2020年中央财政医疗救助补助资金预算的通知》（财社〔2019〕222号）、《财政部 国家医保局关于下达2020年中央财政医疗救助补助资金预算的通知》（财社〔2020〕56号）、《财政部国家医保局关于下达2020年医疗救助补助资金预算的通知》（财社〔2020〕68号）下达我省医疗救助补助资金（城乡医疗救助部分）共计214,806万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我省及时研究资金分配方案，先后通过《云南省财政厅 云南省医疗保障局关于提前下达2020年中央财政医疗救助补助资金预算的通知》（云财社〔2020〕1号）、《云南省财政厅 云南省医疗保障局关于下达2020年中央财政医疗救助补助资金预算（第二批）的通知》（云财社〔2020〕136号）、《云南省财政厅 云南省医疗保障局关于下达2020年中央对地方特殊转移支付医疗救助补助资金（城乡医疗救助资金）的通知》（云财社〔2020〕114号）三个资金文件及时将中央补助资金214,806万元分配下达至16个州市。</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2.绩效目标情况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按照国家医疗救助资金项目绩效评价目标相关要求，确定了年度总体绩效目标，具体为：（1）将符合条件的人员纳入保障范围。（2）立足现有制度提供保障。（3）合理确定保障水平。（4）提高财政补助资金使用效率，确保资金安全。</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同时，根据绩效评价工作基本要求，将绩效目标从产出、效益、满意度三个方面细化分解为不同阶段、层次的具体指标，确保通过项目绩效管理，发挥资金使用最大效益。具体的绩效指标如表1：</w:t>
      </w:r>
    </w:p>
    <w:p>
      <w:pPr>
        <w:spacing w:line="579" w:lineRule="exact"/>
        <w:ind w:firstLine="641"/>
        <w:jc w:val="center"/>
        <w:rPr>
          <w:rFonts w:ascii="黑体" w:hAnsi="黑体" w:eastAsia="黑体" w:cs="仿宋_GB2312"/>
          <w:bCs/>
          <w:sz w:val="24"/>
          <w:szCs w:val="24"/>
        </w:rPr>
      </w:pPr>
      <w:r>
        <w:rPr>
          <w:rFonts w:hint="eastAsia" w:ascii="黑体" w:hAnsi="黑体" w:eastAsia="黑体" w:cs="仿宋_GB2312"/>
          <w:bCs/>
          <w:sz w:val="24"/>
          <w:szCs w:val="24"/>
        </w:rPr>
        <w:t>表1   医疗救助补助资金（城乡医疗救助部分）绩效目标申报表</w:t>
      </w:r>
    </w:p>
    <w:tbl>
      <w:tblPr>
        <w:tblStyle w:val="12"/>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480"/>
        <w:gridCol w:w="306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20"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一级指标</w:t>
            </w:r>
          </w:p>
        </w:tc>
        <w:tc>
          <w:tcPr>
            <w:tcW w:w="1480"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二级指标</w:t>
            </w:r>
          </w:p>
        </w:tc>
        <w:tc>
          <w:tcPr>
            <w:tcW w:w="3060"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三级指标</w:t>
            </w:r>
          </w:p>
        </w:tc>
        <w:tc>
          <w:tcPr>
            <w:tcW w:w="3960" w:type="dxa"/>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20"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产出指标</w:t>
            </w:r>
          </w:p>
        </w:tc>
        <w:tc>
          <w:tcPr>
            <w:tcW w:w="148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数量指标</w:t>
            </w: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资助参保</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明确资助参保范围及标准，对符合条件的人员资助参保全覆盖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20" w:type="dxa"/>
            <w:vMerge w:val="continue"/>
            <w:vAlign w:val="center"/>
          </w:tcPr>
          <w:p>
            <w:pPr>
              <w:widowControl/>
              <w:jc w:val="left"/>
              <w:rPr>
                <w:rFonts w:ascii="仿宋" w:hAnsi="仿宋" w:eastAsia="仿宋" w:cs="宋体"/>
                <w:kern w:val="0"/>
                <w:szCs w:val="21"/>
              </w:rPr>
            </w:pPr>
          </w:p>
        </w:tc>
        <w:tc>
          <w:tcPr>
            <w:tcW w:w="1480"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质量指标</w:t>
            </w: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重特大疾病救助封顶线</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不低于10万元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0" w:type="dxa"/>
            <w:vMerge w:val="continue"/>
            <w:vAlign w:val="center"/>
          </w:tcPr>
          <w:p>
            <w:pPr>
              <w:widowControl/>
              <w:jc w:val="left"/>
              <w:rPr>
                <w:rFonts w:ascii="仿宋" w:hAnsi="仿宋" w:eastAsia="仿宋" w:cs="宋体"/>
                <w:kern w:val="0"/>
                <w:szCs w:val="21"/>
              </w:rPr>
            </w:pPr>
          </w:p>
        </w:tc>
        <w:tc>
          <w:tcPr>
            <w:tcW w:w="1480" w:type="dxa"/>
            <w:vMerge w:val="continue"/>
            <w:vAlign w:val="center"/>
          </w:tcPr>
          <w:p>
            <w:pPr>
              <w:widowControl/>
              <w:jc w:val="center"/>
              <w:rPr>
                <w:rFonts w:ascii="仿宋" w:hAnsi="仿宋" w:eastAsia="仿宋" w:cs="宋体"/>
                <w:kern w:val="0"/>
                <w:szCs w:val="21"/>
              </w:rPr>
            </w:pP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重特大疾病救助人次占直接救助人次比例</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0" w:type="dxa"/>
            <w:vMerge w:val="continue"/>
            <w:vAlign w:val="center"/>
          </w:tcPr>
          <w:p>
            <w:pPr>
              <w:widowControl/>
              <w:jc w:val="left"/>
              <w:rPr>
                <w:rFonts w:ascii="仿宋" w:hAnsi="仿宋" w:eastAsia="仿宋" w:cs="宋体"/>
                <w:kern w:val="0"/>
                <w:szCs w:val="21"/>
              </w:rPr>
            </w:pPr>
          </w:p>
        </w:tc>
        <w:tc>
          <w:tcPr>
            <w:tcW w:w="1480" w:type="dxa"/>
            <w:vMerge w:val="continue"/>
            <w:vAlign w:val="center"/>
          </w:tcPr>
          <w:p>
            <w:pPr>
              <w:widowControl/>
              <w:jc w:val="center"/>
              <w:rPr>
                <w:rFonts w:ascii="仿宋" w:hAnsi="仿宋" w:eastAsia="仿宋" w:cs="宋体"/>
                <w:kern w:val="0"/>
                <w:szCs w:val="21"/>
              </w:rPr>
            </w:pP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重点救助对象自付费用年度限额内住院救助比例</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20"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效益指标</w:t>
            </w:r>
          </w:p>
        </w:tc>
        <w:tc>
          <w:tcPr>
            <w:tcW w:w="1480"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社会效益</w:t>
            </w: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一站式结算覆盖地区</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县域内全覆盖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20" w:type="dxa"/>
            <w:vMerge w:val="continue"/>
            <w:vAlign w:val="center"/>
          </w:tcPr>
          <w:p>
            <w:pPr>
              <w:widowControl/>
              <w:jc w:val="left"/>
              <w:rPr>
                <w:rFonts w:ascii="仿宋" w:hAnsi="仿宋" w:eastAsia="仿宋" w:cs="宋体"/>
                <w:kern w:val="0"/>
                <w:szCs w:val="21"/>
              </w:rPr>
            </w:pPr>
          </w:p>
        </w:tc>
        <w:tc>
          <w:tcPr>
            <w:tcW w:w="1480" w:type="dxa"/>
            <w:vMerge w:val="continue"/>
            <w:vAlign w:val="center"/>
          </w:tcPr>
          <w:p>
            <w:pPr>
              <w:jc w:val="center"/>
              <w:rPr>
                <w:rFonts w:ascii="仿宋" w:hAnsi="仿宋" w:eastAsia="仿宋" w:cs="宋体"/>
                <w:kern w:val="0"/>
                <w:szCs w:val="21"/>
              </w:rPr>
            </w:pP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救助对象覆盖范围</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逐步扩大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20" w:type="dxa"/>
            <w:vMerge w:val="continue"/>
            <w:vAlign w:val="center"/>
          </w:tcPr>
          <w:p>
            <w:pPr>
              <w:widowControl/>
              <w:jc w:val="left"/>
              <w:rPr>
                <w:rFonts w:ascii="仿宋" w:hAnsi="仿宋" w:eastAsia="仿宋" w:cs="宋体"/>
                <w:kern w:val="0"/>
                <w:szCs w:val="21"/>
              </w:rPr>
            </w:pPr>
          </w:p>
        </w:tc>
        <w:tc>
          <w:tcPr>
            <w:tcW w:w="1480" w:type="dxa"/>
            <w:vMerge w:val="continue"/>
            <w:vAlign w:val="center"/>
          </w:tcPr>
          <w:p>
            <w:pPr>
              <w:jc w:val="center"/>
              <w:rPr>
                <w:rFonts w:ascii="仿宋" w:hAnsi="仿宋" w:eastAsia="仿宋" w:cs="宋体"/>
                <w:kern w:val="0"/>
                <w:szCs w:val="21"/>
              </w:rPr>
            </w:pP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因病致贫人数</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持续减少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20" w:type="dxa"/>
            <w:vMerge w:val="continue"/>
            <w:vAlign w:val="center"/>
          </w:tcPr>
          <w:p>
            <w:pPr>
              <w:widowControl/>
              <w:jc w:val="left"/>
              <w:rPr>
                <w:rFonts w:ascii="仿宋" w:hAnsi="仿宋" w:eastAsia="仿宋" w:cs="宋体"/>
                <w:kern w:val="0"/>
                <w:szCs w:val="21"/>
              </w:rPr>
            </w:pPr>
          </w:p>
        </w:tc>
        <w:tc>
          <w:tcPr>
            <w:tcW w:w="1480" w:type="dxa"/>
            <w:vMerge w:val="continue"/>
            <w:shd w:val="clear" w:color="auto" w:fill="auto"/>
            <w:vAlign w:val="center"/>
          </w:tcPr>
          <w:p>
            <w:pPr>
              <w:widowControl/>
              <w:jc w:val="center"/>
              <w:rPr>
                <w:rFonts w:ascii="仿宋" w:hAnsi="仿宋" w:eastAsia="仿宋" w:cs="宋体"/>
                <w:kern w:val="0"/>
                <w:szCs w:val="21"/>
              </w:rPr>
            </w:pP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困难群众就医方便程度</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20" w:type="dxa"/>
            <w:vMerge w:val="continue"/>
            <w:vAlign w:val="center"/>
          </w:tcPr>
          <w:p>
            <w:pPr>
              <w:widowControl/>
              <w:jc w:val="left"/>
              <w:rPr>
                <w:rFonts w:ascii="仿宋" w:hAnsi="仿宋" w:eastAsia="仿宋" w:cs="宋体"/>
                <w:kern w:val="0"/>
                <w:szCs w:val="21"/>
              </w:rPr>
            </w:pPr>
          </w:p>
        </w:tc>
        <w:tc>
          <w:tcPr>
            <w:tcW w:w="148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可持续影响指标</w:t>
            </w: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相关保障政策与政府承受能力相适应</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不超过政府承受能力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20"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满意度指标</w:t>
            </w:r>
          </w:p>
        </w:tc>
        <w:tc>
          <w:tcPr>
            <w:tcW w:w="1480" w:type="dxa"/>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服务对象满意度指标</w:t>
            </w: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救助对象满意度</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20" w:type="dxa"/>
            <w:vMerge w:val="continue"/>
            <w:vAlign w:val="center"/>
          </w:tcPr>
          <w:p>
            <w:pPr>
              <w:widowControl/>
              <w:jc w:val="left"/>
              <w:rPr>
                <w:rFonts w:ascii="仿宋" w:hAnsi="仿宋" w:eastAsia="仿宋" w:cs="宋体"/>
                <w:kern w:val="0"/>
                <w:szCs w:val="21"/>
              </w:rPr>
            </w:pPr>
          </w:p>
        </w:tc>
        <w:tc>
          <w:tcPr>
            <w:tcW w:w="1480" w:type="dxa"/>
            <w:vMerge w:val="continue"/>
            <w:vAlign w:val="center"/>
          </w:tcPr>
          <w:p>
            <w:pPr>
              <w:widowControl/>
              <w:jc w:val="left"/>
              <w:rPr>
                <w:rFonts w:ascii="仿宋" w:hAnsi="仿宋" w:eastAsia="仿宋" w:cs="宋体"/>
                <w:kern w:val="0"/>
                <w:szCs w:val="21"/>
              </w:rPr>
            </w:pPr>
          </w:p>
        </w:tc>
        <w:tc>
          <w:tcPr>
            <w:tcW w:w="30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政策知晓率</w:t>
            </w:r>
          </w:p>
        </w:tc>
        <w:tc>
          <w:tcPr>
            <w:tcW w:w="396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持续提高</w:t>
            </w:r>
          </w:p>
        </w:tc>
      </w:tr>
    </w:tbl>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（二）省内资金安排、分解下达预算和绩效目标情况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1.省内资金安排、分解下达预算情况</w:t>
      </w:r>
    </w:p>
    <w:p>
      <w:pPr>
        <w:spacing w:line="579"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我省积极落实地方财政补助政策，先后通过《云南省财政厅 云南省医疗保障局关于下达2020年第一批省级城乡医疗救助补助资金的通知》（云财社〔2020〕104号）、《云南省财政厅 云南省医疗保障局关于下达2020年省级医疗救助补助资金（第二批）的通知》（云财社〔2020〕214号）下达省级医疗救助补助资金（城乡医疗救助部分）共计53,909万元。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2.绩效目标情况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我省安排的医疗救助资金，以中央对地方转移支付区域绩效指标为主要指标，部分指标结合我省实际情况做出相应调整</w:t>
      </w:r>
      <w:r>
        <w:rPr>
          <w:rFonts w:ascii="仿宋" w:hAnsi="仿宋" w:eastAsia="仿宋" w:cs="仿宋_GB2312"/>
          <w:color w:val="000000"/>
          <w:sz w:val="30"/>
          <w:szCs w:val="30"/>
        </w:rPr>
        <w:t>。</w:t>
      </w: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二、绩效目标完成情况分析</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（一）资金投入情况分析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1.项目资金安排情况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按照中央和省级要求，2020年安排医疗救助资金合计268,715万元（不包括提高深度贫困地区农村贫困人口医疗保障水平补助资金），其中：中央救助资金214,806万元，省级城乡医疗救助资金53,909万元。同时各级均按要求及时分解下达中央和省级补助资金268,715万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2.项目资金执行情况</w:t>
      </w:r>
    </w:p>
    <w:p>
      <w:pPr>
        <w:spacing w:line="579" w:lineRule="exact"/>
        <w:ind w:firstLine="600" w:firstLineChars="200"/>
        <w:rPr>
          <w:rFonts w:ascii="仿宋" w:hAnsi="仿宋" w:eastAsia="仿宋" w:cs="仿宋_GB2312"/>
          <w:color w:val="000000"/>
          <w:sz w:val="30"/>
          <w:szCs w:val="30"/>
        </w:rPr>
      </w:pPr>
      <w:r>
        <w:rPr>
          <w:rFonts w:ascii="仿宋" w:hAnsi="仿宋" w:eastAsia="仿宋" w:cs="仿宋_GB2312"/>
          <w:color w:val="000000"/>
          <w:sz w:val="30"/>
          <w:szCs w:val="30"/>
        </w:rPr>
        <w:t>20</w:t>
      </w:r>
      <w:r>
        <w:rPr>
          <w:rFonts w:hint="eastAsia" w:ascii="仿宋" w:hAnsi="仿宋" w:eastAsia="仿宋" w:cs="仿宋_GB2312"/>
          <w:color w:val="000000"/>
          <w:sz w:val="30"/>
          <w:szCs w:val="30"/>
        </w:rPr>
        <w:t>20年，中央、省级下达的医疗救助补助资金（城乡医疗救助部分）268,715万元均已分配下达至16州市，设立基金地区的财政部门在收到上级财政医疗救助资金预算指标文件后，于年度内按序时进度及时拨付至本级医保基金财政专户，预算执行率100%。资金使用按照城乡医疗救助资金管理有关规定执行，设立基金地区的财政部门将上级拨付的救助资金拨付至本级医疗救助基金财政专户，无随意扩大受益人员范围。</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3.项目资金管理情况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为规范城乡医疗救助资金的管理和使用，提高使用效益，根据《城乡医疗救助基金管理办法》（财社〔2013〕217号）要求，我省及时制定《云南省财政厅 云南省民政厅关于转发财政部 民政部关于印发城乡医疗救助基金管理办法文件的通知》（云财社〔2014〕19号）、《云南省民政事业专项转移支付资金管理办法（试行）》（云财社〔2016〕65号）。</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根据《关于印发城乡医疗救助基金管理办法文件的通知》（云财社〔2014〕19号）相关规定，加强经费使用管理，按照专款专用、收支平衡的原则安排使用好医疗救助经费，严格执行财经纪律和财务制度，加强财务管理，规范财务行为，严格资金管理和经费使用。</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（二）总体绩效目标完成情况分析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2020年度总体绩效目标已经基本完成。医疗救助作为社会救助体系中的一个制度，发挥了托底保障作用，保障了困难人口享有基本医保的权力，并有效减轻贫困患者的医疗费用负担。持续实施重特大疾病医疗救助，强化了医疗救助规范管理。县城内“一站式”结算全覆盖，明显提升了困难群众看病就医方便程度。重点救助对象政策范围内的自付费用在年度限额内住院救助比例不低于70%，有效减轻了困难群众就医负担，未发生冲击社会道德底线事件，为实现全省756万建档立卡贫困人口基本医疗有保障，如期脱贫，取得脱贫攻坚战决定性胜利发挥了积极作用。</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（三）绩效指标完成情况分析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1.产出指标完成情况分析</w:t>
      </w:r>
    </w:p>
    <w:p>
      <w:pPr>
        <w:spacing w:line="579"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（1）数量指标</w:t>
      </w:r>
    </w:p>
    <w:p>
      <w:pPr>
        <w:spacing w:line="579"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资助参保：明确资助参保范围及标准，对符合条件的人员资助参保全覆盖。根据《社会救助暂行办法》（国务院第649号令）、《国务院办公厅转发民政部等部门关于进一步完善医疗救助制度全面开展重特大疾病医疗救助工作意见的通知》（国办发〔2015</w:t>
      </w:r>
      <w:r>
        <w:rPr>
          <w:rFonts w:ascii="仿宋" w:hAnsi="仿宋" w:eastAsia="仿宋" w:cs="仿宋_GB2312"/>
          <w:color w:val="000000"/>
          <w:sz w:val="30"/>
          <w:szCs w:val="30"/>
        </w:rPr>
        <w:t>〕</w:t>
      </w:r>
      <w:r>
        <w:rPr>
          <w:rFonts w:hint="eastAsia" w:ascii="仿宋" w:hAnsi="仿宋" w:eastAsia="仿宋" w:cs="仿宋_GB2312"/>
          <w:color w:val="000000"/>
          <w:sz w:val="30"/>
          <w:szCs w:val="30"/>
        </w:rPr>
        <w:t>30</w:t>
      </w:r>
      <w:r>
        <w:rPr>
          <w:rFonts w:ascii="仿宋" w:hAnsi="仿宋" w:eastAsia="仿宋" w:cs="仿宋_GB2312"/>
          <w:color w:val="000000"/>
          <w:sz w:val="30"/>
          <w:szCs w:val="30"/>
        </w:rPr>
        <w:t>号）</w:t>
      </w:r>
      <w:r>
        <w:rPr>
          <w:rFonts w:hint="eastAsia" w:ascii="仿宋" w:hAnsi="仿宋" w:eastAsia="仿宋" w:cs="仿宋_GB2312"/>
          <w:color w:val="000000"/>
          <w:sz w:val="30"/>
          <w:szCs w:val="30"/>
        </w:rPr>
        <w:t>等规定，结合我省实际</w:t>
      </w:r>
      <w:r>
        <w:rPr>
          <w:rFonts w:ascii="仿宋" w:hAnsi="仿宋" w:eastAsia="仿宋" w:cs="仿宋_GB2312"/>
          <w:color w:val="000000"/>
          <w:sz w:val="30"/>
          <w:szCs w:val="30"/>
        </w:rPr>
        <w:t>，</w:t>
      </w:r>
      <w:r>
        <w:rPr>
          <w:rFonts w:hint="eastAsia" w:ascii="仿宋" w:hAnsi="仿宋" w:eastAsia="仿宋" w:cs="仿宋_GB2312"/>
          <w:color w:val="000000"/>
          <w:sz w:val="30"/>
          <w:szCs w:val="30"/>
        </w:rPr>
        <w:t>制定《云南省人民政府办公厅转发省民政厅等部门关于进一步完善医疗救助制度加快推进重特大疾病医疗救助工作的实施意见》（云政办发〔2015〕65号），根据相关要求，</w:t>
      </w:r>
      <w:r>
        <w:rPr>
          <w:rFonts w:ascii="仿宋" w:hAnsi="仿宋" w:eastAsia="仿宋" w:cs="仿宋_GB2312"/>
          <w:color w:val="000000"/>
          <w:sz w:val="30"/>
          <w:szCs w:val="30"/>
        </w:rPr>
        <w:t>特困供养员、低保对象、低收入对象因病致贫群众已覆盖</w:t>
      </w:r>
      <w:r>
        <w:rPr>
          <w:rFonts w:hint="eastAsia" w:ascii="仿宋" w:hAnsi="仿宋" w:eastAsia="仿宋" w:cs="仿宋_GB2312"/>
          <w:color w:val="000000"/>
          <w:sz w:val="30"/>
          <w:szCs w:val="30"/>
        </w:rPr>
        <w:t>。</w:t>
      </w:r>
    </w:p>
    <w:p>
      <w:pPr>
        <w:spacing w:line="579"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（2）质量指标</w:t>
      </w:r>
    </w:p>
    <w:p>
      <w:pPr>
        <w:spacing w:line="579"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①重特大疾病救助封顶线：计划不低于10万元，2020年实际不低于10万元。</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②重特大疾病医疗救助人次占比：计划重特大疾病医疗救助人次占直接救助人次比重不低于25%，实际2020年重特大疾病医疗救助人次数103,937人，占直接救助人次比重为4.34%，未达到</w:t>
      </w:r>
      <w:r>
        <w:rPr>
          <w:rFonts w:hint="eastAsia" w:ascii="仿宋" w:hAnsi="仿宋" w:eastAsia="仿宋" w:cs="仿宋_GB2312"/>
          <w:color w:val="000000"/>
          <w:sz w:val="30"/>
          <w:szCs w:val="30"/>
          <w:lang w:val="en-US" w:eastAsia="zh-CN"/>
        </w:rPr>
        <w:t>25%</w:t>
      </w:r>
      <w:r>
        <w:rPr>
          <w:rFonts w:hint="eastAsia" w:ascii="仿宋" w:hAnsi="仿宋" w:eastAsia="仿宋" w:cs="仿宋_GB2312"/>
          <w:color w:val="000000"/>
          <w:sz w:val="30"/>
          <w:szCs w:val="30"/>
        </w:rPr>
        <w:t>的占比要求。</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③重点救助对象政策范围内住院自付费年度限额内救助比率：计划指标为重点救助对象政策范围内住院自付费年度限额内救助比率不低于70%，实际已经达到90.08%。</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2.效益指标完成情况分析</w:t>
      </w:r>
    </w:p>
    <w:p>
      <w:pPr>
        <w:spacing w:line="579"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（1）社会效益</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①“一站式”即时结算覆盖地区：计划县域内全覆盖，实际覆盖省外32个省区市，省内16个州市。</w:t>
      </w:r>
    </w:p>
    <w:p>
      <w:pPr>
        <w:spacing w:line="579" w:lineRule="exact"/>
        <w:ind w:firstLine="600" w:firstLineChars="200"/>
        <w:rPr>
          <w:rFonts w:hint="eastAsia" w:ascii="仿宋" w:hAnsi="仿宋" w:eastAsia="仿宋" w:cs="仿宋_GB2312"/>
          <w:color w:val="000000"/>
          <w:sz w:val="30"/>
          <w:szCs w:val="30"/>
        </w:rPr>
      </w:pPr>
      <w:r>
        <w:rPr>
          <w:rFonts w:hint="eastAsia" w:ascii="仿宋" w:hAnsi="仿宋" w:eastAsia="仿宋" w:cs="仿宋_GB2312"/>
          <w:color w:val="000000"/>
          <w:sz w:val="30"/>
          <w:szCs w:val="30"/>
        </w:rPr>
        <w:t>②救助对象覆盖范围：逐步扩大。按照《云南省人民政府办公厅转发省民政厅等部门关于进一步完善医疗救助制度加快推进重特大疾病医疗救助工作的实施意见》（云政办发〔2015〕65号）文要求，医疗救助对象覆盖了城乡特困供养人员、低保对象、低收入对象和因病致贫对象。</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③因病致贫人数：持续减少，截止2019年12月31日，云南省因病致贫返贫（未脱贫）92740户343008人。截止2020年12月31日，云南省无因病致贫返贫（未脱贫）人数。</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④困难群众看病就医方便程度：计划困难群众看病就医方便程度明显提高，实际县城内“一站式”结算全覆盖，明显提升了困难群众看病就医方便程度。</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（2）可持续影响</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相关保障政策与政府承受能力相适应：结合相关与政府承受能力制定《云南省人民政府办公厅关于印发 云南省健康扶贫30条措施的通知》（云政办发〔2017〕102号）、《云南省医疗保障局 云南省财政厅关于做好2019年云南省城乡居民基本医疗保障工作的通知》（云医保〔2019〕76号），</w:t>
      </w:r>
      <w:r>
        <w:rPr>
          <w:rFonts w:hint="eastAsia" w:ascii="仿宋" w:hAnsi="仿宋" w:eastAsia="仿宋" w:cs="仿宋_GB2312"/>
          <w:color w:val="000000"/>
          <w:sz w:val="30"/>
          <w:szCs w:val="30"/>
          <w:lang w:val="en-US" w:eastAsia="zh-CN"/>
        </w:rPr>
        <w:t>2020年，全省</w:t>
      </w:r>
      <w:r>
        <w:rPr>
          <w:rFonts w:hint="eastAsia" w:ascii="仿宋" w:hAnsi="仿宋" w:eastAsia="仿宋" w:cs="仿宋_GB2312"/>
          <w:color w:val="000000"/>
          <w:sz w:val="30"/>
          <w:szCs w:val="30"/>
        </w:rPr>
        <w:t>医疗救助基金</w:t>
      </w:r>
      <w:r>
        <w:rPr>
          <w:rFonts w:hint="eastAsia" w:ascii="仿宋" w:hAnsi="仿宋" w:eastAsia="仿宋" w:cs="仿宋_GB2312"/>
          <w:color w:val="000000"/>
          <w:sz w:val="30"/>
          <w:szCs w:val="30"/>
          <w:lang w:val="en-US" w:eastAsia="zh-CN"/>
        </w:rPr>
        <w:t>滚存</w:t>
      </w:r>
      <w:r>
        <w:rPr>
          <w:rFonts w:hint="eastAsia" w:ascii="仿宋" w:hAnsi="仿宋" w:eastAsia="仿宋" w:cs="仿宋_GB2312"/>
          <w:color w:val="000000"/>
          <w:sz w:val="30"/>
          <w:szCs w:val="30"/>
        </w:rPr>
        <w:t>结余</w:t>
      </w:r>
      <w:r>
        <w:rPr>
          <w:rFonts w:hint="eastAsia" w:ascii="仿宋" w:hAnsi="仿宋" w:eastAsia="仿宋" w:cs="仿宋_GB2312"/>
          <w:color w:val="auto"/>
          <w:sz w:val="30"/>
          <w:szCs w:val="30"/>
          <w:lang w:val="en-US" w:eastAsia="zh-CN"/>
        </w:rPr>
        <w:t>12.36</w:t>
      </w:r>
      <w:r>
        <w:rPr>
          <w:rFonts w:hint="eastAsia" w:ascii="仿宋" w:hAnsi="仿宋" w:eastAsia="仿宋" w:cs="仿宋_GB2312"/>
          <w:color w:val="000000"/>
          <w:sz w:val="30"/>
          <w:szCs w:val="30"/>
        </w:rPr>
        <w:t>亿元，不超过政府承受能力。</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3.满意度指标完成情况分析</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（1）政策知晓率：计划服务对象政策知晓率≥80%，实际政策知晓率≥95%。</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（2）救助对象满意度：计划救助对象满意度≥85%，实际满意度≥95%。</w:t>
      </w: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三、偏离目标的原因和下一步改进措施</w:t>
      </w:r>
    </w:p>
    <w:p>
      <w:pPr>
        <w:spacing w:line="579" w:lineRule="exact"/>
        <w:ind w:firstLine="600" w:firstLineChars="200"/>
        <w:rPr>
          <w:rFonts w:hint="default" w:ascii="仿宋" w:hAnsi="仿宋" w:eastAsia="仿宋" w:cs="仿宋_GB2312"/>
          <w:color w:val="000000"/>
          <w:sz w:val="30"/>
          <w:szCs w:val="30"/>
          <w:lang w:val="en-US" w:eastAsia="zh-CN"/>
        </w:rPr>
      </w:pPr>
      <w:r>
        <w:rPr>
          <w:rFonts w:hint="eastAsia" w:ascii="仿宋" w:hAnsi="仿宋" w:eastAsia="仿宋" w:cs="仿宋_GB2312"/>
          <w:color w:val="000000"/>
          <w:sz w:val="30"/>
          <w:szCs w:val="30"/>
        </w:rPr>
        <w:t>重特大疾病医疗救助人次占直接救助人次比重为4.34%，低于2</w:t>
      </w:r>
      <w:r>
        <w:rPr>
          <w:rFonts w:hint="eastAsia" w:ascii="仿宋" w:hAnsi="仿宋" w:eastAsia="仿宋" w:cs="仿宋_GB2312"/>
          <w:color w:val="000000"/>
          <w:sz w:val="30"/>
          <w:szCs w:val="30"/>
          <w:lang w:val="en-US" w:eastAsia="zh-CN"/>
        </w:rPr>
        <w:t>5</w:t>
      </w:r>
      <w:r>
        <w:rPr>
          <w:rFonts w:hint="eastAsia" w:ascii="仿宋" w:hAnsi="仿宋" w:eastAsia="仿宋" w:cs="仿宋_GB2312"/>
          <w:color w:val="000000"/>
          <w:sz w:val="30"/>
          <w:szCs w:val="30"/>
        </w:rPr>
        <w:t>%的指标值。原因是</w:t>
      </w:r>
      <w:r>
        <w:rPr>
          <w:rFonts w:hint="eastAsia" w:ascii="仿宋" w:hAnsi="仿宋" w:eastAsia="仿宋" w:cs="仿宋_GB2312"/>
          <w:color w:val="000000"/>
          <w:sz w:val="30"/>
          <w:szCs w:val="30"/>
          <w:lang w:val="en-US" w:eastAsia="zh-CN"/>
        </w:rPr>
        <w:t>云南省建档立卡贫困人口756万人，此类人群发生的医疗费用均由医疗救助资金进行兜底保障，因此，重特大疾病医疗救助人数反而不高</w:t>
      </w:r>
      <w:r>
        <w:rPr>
          <w:rFonts w:hint="eastAsia" w:ascii="仿宋" w:hAnsi="仿宋" w:eastAsia="仿宋" w:cs="仿宋_GB2312"/>
          <w:color w:val="000000"/>
          <w:sz w:val="30"/>
          <w:szCs w:val="30"/>
        </w:rPr>
        <w:t>。下一步，我们将</w:t>
      </w:r>
      <w:r>
        <w:rPr>
          <w:rFonts w:hint="eastAsia" w:ascii="仿宋" w:hAnsi="仿宋" w:eastAsia="仿宋" w:cs="仿宋_GB2312"/>
          <w:color w:val="000000"/>
          <w:sz w:val="30"/>
          <w:szCs w:val="30"/>
          <w:lang w:val="en-US" w:eastAsia="zh-CN"/>
        </w:rPr>
        <w:t>结合国家和省乡村振兴有关要求，调整完善政策，特别是对贫困人口医保待遇政策进行调整。此项指标扣6分。</w:t>
      </w: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四、绩效自评结果拟应用和公开情况</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（一）自评结果</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2020年，通过组织有关部门学习救助资金相关政策文件，并对中央转移支付资金开展绩效自评工作，如期完成了年度绩效目标。最终，自评得分为</w:t>
      </w:r>
      <w:r>
        <w:rPr>
          <w:rFonts w:hint="eastAsia" w:ascii="仿宋" w:hAnsi="仿宋" w:eastAsia="仿宋" w:cs="仿宋_GB2312"/>
          <w:color w:val="000000"/>
          <w:sz w:val="30"/>
          <w:szCs w:val="30"/>
          <w:lang w:val="en-US" w:eastAsia="zh-CN"/>
        </w:rPr>
        <w:t>94</w:t>
      </w:r>
      <w:r>
        <w:rPr>
          <w:rFonts w:hint="eastAsia" w:ascii="仿宋" w:hAnsi="仿宋" w:eastAsia="仿宋" w:cs="仿宋_GB2312"/>
          <w:color w:val="000000"/>
          <w:sz w:val="30"/>
          <w:szCs w:val="30"/>
        </w:rPr>
        <w:t>分，自评结果为“</w:t>
      </w:r>
      <w:r>
        <w:rPr>
          <w:rFonts w:hint="eastAsia" w:ascii="仿宋" w:hAnsi="仿宋" w:eastAsia="仿宋" w:cs="仿宋_GB2312"/>
          <w:color w:val="000000"/>
          <w:sz w:val="30"/>
          <w:szCs w:val="30"/>
          <w:lang w:val="en-US" w:eastAsia="zh-CN"/>
        </w:rPr>
        <w:t>优</w:t>
      </w:r>
      <w:r>
        <w:rPr>
          <w:rFonts w:hint="eastAsia" w:ascii="仿宋" w:hAnsi="仿宋" w:eastAsia="仿宋" w:cs="仿宋_GB2312"/>
          <w:color w:val="000000"/>
          <w:sz w:val="30"/>
          <w:szCs w:val="30"/>
        </w:rPr>
        <w:t>”。</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（二）自评结果运用</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针对绩效自评结果，拟通过以下措施，强化绩效自评结果的运用：一是利用绩效自评成果改进下一年度绩效自评指标及时总结经验，改进管理措施，从而完善项目自评机制，有效提高资金管理水平和使用效率，确保项目按要求完成，及时发挥财政资金效能；二是与下一年度预算安排结合，本次自评结果作为下一年度预算的重要依据，对于合理安排下一年度预算起到关键作用。</w:t>
      </w:r>
    </w:p>
    <w:p>
      <w:pPr>
        <w:spacing w:line="579" w:lineRule="exact"/>
        <w:ind w:firstLine="600" w:firstLineChars="200"/>
        <w:outlineLvl w:val="0"/>
        <w:rPr>
          <w:rFonts w:ascii="楷体" w:hAnsi="楷体" w:eastAsia="楷体" w:cs="楷体_GB2312"/>
          <w:color w:val="000000"/>
          <w:sz w:val="30"/>
          <w:szCs w:val="30"/>
        </w:rPr>
      </w:pPr>
      <w:r>
        <w:rPr>
          <w:rFonts w:hint="eastAsia" w:ascii="楷体" w:hAnsi="楷体" w:eastAsia="楷体" w:cs="楷体_GB2312"/>
          <w:color w:val="000000"/>
          <w:sz w:val="30"/>
          <w:szCs w:val="30"/>
        </w:rPr>
        <w:t>（三）自评结果公开情况</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绩效自评结果将通过“云南省医疗保障局官网”进行公开。</w:t>
      </w:r>
    </w:p>
    <w:p>
      <w:pPr>
        <w:spacing w:line="579" w:lineRule="exact"/>
        <w:ind w:firstLine="600" w:firstLineChars="200"/>
        <w:outlineLvl w:val="0"/>
        <w:rPr>
          <w:rFonts w:ascii="黑体" w:hAnsi="黑体" w:eastAsia="黑体" w:cs="方正黑体_GBK"/>
          <w:color w:val="000000"/>
          <w:sz w:val="30"/>
          <w:szCs w:val="30"/>
        </w:rPr>
      </w:pPr>
      <w:r>
        <w:rPr>
          <w:rFonts w:hint="eastAsia" w:ascii="黑体" w:hAnsi="黑体" w:eastAsia="黑体" w:cs="方正黑体_GBK"/>
          <w:color w:val="000000"/>
          <w:sz w:val="30"/>
          <w:szCs w:val="30"/>
        </w:rPr>
        <w:t>五、其他需要说明的问题</w:t>
      </w:r>
    </w:p>
    <w:p>
      <w:pPr>
        <w:spacing w:line="579"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无。</w:t>
      </w:r>
    </w:p>
    <w:p>
      <w:pPr>
        <w:spacing w:line="579" w:lineRule="exact"/>
        <w:ind w:firstLine="640" w:firstLineChars="200"/>
        <w:jc w:val="left"/>
        <w:rPr>
          <w:rFonts w:ascii="Times New Roman" w:hAnsi="Times New Roman" w:eastAsia="方正仿宋_GBK"/>
          <w:color w:val="000000"/>
          <w:sz w:val="32"/>
          <w:szCs w:val="32"/>
        </w:rPr>
      </w:pPr>
    </w:p>
    <w:p>
      <w:pPr>
        <w:spacing w:line="600" w:lineRule="exact"/>
      </w:pPr>
    </w:p>
    <w:sectPr>
      <w:headerReference r:id="rId3" w:type="default"/>
      <w:footerReference r:id="rId4" w:type="default"/>
      <w:pgSz w:w="11906" w:h="16838"/>
      <w:pgMar w:top="2041" w:right="1474" w:bottom="1928" w:left="1588"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Light">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-140335</wp:posOffset>
              </wp:positionV>
              <wp:extent cx="711835" cy="230505"/>
              <wp:effectExtent l="0" t="0" r="5715" b="10795"/>
              <wp:wrapNone/>
              <wp:docPr id="5" name="文本框 5"/>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wps:spPr>
                    <wps:txbx>
                      <w:txbxContent>
                        <w:p>
                          <w:pPr>
                            <w:snapToGrid w:val="0"/>
                            <w:rPr>
                              <w:rFonts w:ascii="宋体" w:hAnsi="宋体" w:cs="宋体"/>
                              <w:sz w:val="30"/>
                              <w:szCs w:val="30"/>
                            </w:rPr>
                          </w:pPr>
                          <w:r>
                            <w:rPr>
                              <w:rFonts w:hint="eastAsia" w:ascii="仿宋_GB2312" w:hAnsi="仿宋_GB2312" w:eastAsia="仿宋_GB2312" w:cs="仿宋_GB2312"/>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05pt;height:18.15pt;width:56.05pt;mso-position-horizontal:outside;mso-position-horizontal-relative:margin;mso-wrap-style:none;z-index:251659264;mso-width-relative:page;mso-height-relative:page;" filled="f" stroked="f" coordsize="21600,21600" o:gfxdata="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ekuNMAAAAHAQAADwAAAAAAAAABACAA&#10;AAAiAAAAZHJzL2Rvd25yZXYueG1sUEsBAhQAFAAAAAgAh07iQFn/dokSAgAABQQAAA4AAAAAAAAA&#10;AQAgAAAAIgEAAGRycy9lMm9Eb2MueG1sUEsFBgAAAAAGAAYAWQEAAKYFAAAAAA==&#10;">
              <v:fill on="f" focussize="0,0"/>
              <v:stroke on="f" weight="0.5pt"/>
              <v:imagedata o:title=""/>
              <o:lock v:ext="edit" aspectratio="f"/>
              <v:textbox inset="0mm,0mm,0mm,0mm" style="mso-fit-shape-to-text:t;">
                <w:txbxContent>
                  <w:p>
                    <w:pPr>
                      <w:snapToGrid w:val="0"/>
                      <w:rPr>
                        <w:rFonts w:ascii="宋体" w:hAnsi="宋体" w:cs="宋体"/>
                        <w:sz w:val="30"/>
                        <w:szCs w:val="30"/>
                      </w:rPr>
                    </w:pPr>
                    <w:r>
                      <w:rPr>
                        <w:rFonts w:hint="eastAsia" w:ascii="仿宋_GB2312" w:hAnsi="仿宋_GB2312" w:eastAsia="仿宋_GB2312" w:cs="仿宋_GB2312"/>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B5"/>
    <w:rsid w:val="00022562"/>
    <w:rsid w:val="0005588A"/>
    <w:rsid w:val="000A375A"/>
    <w:rsid w:val="00164AA4"/>
    <w:rsid w:val="00241EB5"/>
    <w:rsid w:val="002457C6"/>
    <w:rsid w:val="00246658"/>
    <w:rsid w:val="002730B9"/>
    <w:rsid w:val="002A2DC5"/>
    <w:rsid w:val="002A565C"/>
    <w:rsid w:val="002C3333"/>
    <w:rsid w:val="0038208F"/>
    <w:rsid w:val="003E0A9A"/>
    <w:rsid w:val="0047172F"/>
    <w:rsid w:val="0049064F"/>
    <w:rsid w:val="004A2492"/>
    <w:rsid w:val="004C1AAD"/>
    <w:rsid w:val="004F1292"/>
    <w:rsid w:val="005918CC"/>
    <w:rsid w:val="005D270C"/>
    <w:rsid w:val="005F615B"/>
    <w:rsid w:val="006609DC"/>
    <w:rsid w:val="00681128"/>
    <w:rsid w:val="006C5C95"/>
    <w:rsid w:val="006E0393"/>
    <w:rsid w:val="007F2792"/>
    <w:rsid w:val="007F7DBA"/>
    <w:rsid w:val="00801685"/>
    <w:rsid w:val="00812B44"/>
    <w:rsid w:val="008A23EB"/>
    <w:rsid w:val="008C0213"/>
    <w:rsid w:val="008D2E56"/>
    <w:rsid w:val="00930EE2"/>
    <w:rsid w:val="00994DFF"/>
    <w:rsid w:val="009E0FC6"/>
    <w:rsid w:val="009E5801"/>
    <w:rsid w:val="00A35EFB"/>
    <w:rsid w:val="00AC33F7"/>
    <w:rsid w:val="00B11B4B"/>
    <w:rsid w:val="00B539A3"/>
    <w:rsid w:val="00BE158F"/>
    <w:rsid w:val="00BE50F1"/>
    <w:rsid w:val="00BE6183"/>
    <w:rsid w:val="00CF6705"/>
    <w:rsid w:val="00E56FE0"/>
    <w:rsid w:val="00E9088F"/>
    <w:rsid w:val="00F3212A"/>
    <w:rsid w:val="00F341F9"/>
    <w:rsid w:val="00F425DB"/>
    <w:rsid w:val="00F459F6"/>
    <w:rsid w:val="00F941A0"/>
    <w:rsid w:val="00FC1C9D"/>
    <w:rsid w:val="014F7E02"/>
    <w:rsid w:val="01C96F0D"/>
    <w:rsid w:val="03FB226D"/>
    <w:rsid w:val="06C4506B"/>
    <w:rsid w:val="12C70391"/>
    <w:rsid w:val="17624B89"/>
    <w:rsid w:val="18371B5A"/>
    <w:rsid w:val="18413618"/>
    <w:rsid w:val="1B6C06B9"/>
    <w:rsid w:val="1BFC7E56"/>
    <w:rsid w:val="1E7C2C26"/>
    <w:rsid w:val="1ED724BA"/>
    <w:rsid w:val="265751F1"/>
    <w:rsid w:val="26B34864"/>
    <w:rsid w:val="280248E5"/>
    <w:rsid w:val="28520B8C"/>
    <w:rsid w:val="294F1562"/>
    <w:rsid w:val="2A311B10"/>
    <w:rsid w:val="2AAA724D"/>
    <w:rsid w:val="2AB0569E"/>
    <w:rsid w:val="2DF2505D"/>
    <w:rsid w:val="2F9A7719"/>
    <w:rsid w:val="31815FB3"/>
    <w:rsid w:val="32CE407C"/>
    <w:rsid w:val="332D1499"/>
    <w:rsid w:val="38055EE1"/>
    <w:rsid w:val="38EB555D"/>
    <w:rsid w:val="393868E5"/>
    <w:rsid w:val="3E780DFA"/>
    <w:rsid w:val="403F423B"/>
    <w:rsid w:val="4217516C"/>
    <w:rsid w:val="42955C96"/>
    <w:rsid w:val="430F4141"/>
    <w:rsid w:val="46A4601F"/>
    <w:rsid w:val="47565B13"/>
    <w:rsid w:val="49AC3723"/>
    <w:rsid w:val="49D65577"/>
    <w:rsid w:val="4AA70F60"/>
    <w:rsid w:val="4AE03A7A"/>
    <w:rsid w:val="4CBD46E6"/>
    <w:rsid w:val="4CD33670"/>
    <w:rsid w:val="4DD945B6"/>
    <w:rsid w:val="4ECF214C"/>
    <w:rsid w:val="4FF80A25"/>
    <w:rsid w:val="51B74EE6"/>
    <w:rsid w:val="577A16FE"/>
    <w:rsid w:val="5A031DA8"/>
    <w:rsid w:val="5F5A42BB"/>
    <w:rsid w:val="5FD97352"/>
    <w:rsid w:val="61FC7AE4"/>
    <w:rsid w:val="63FB421B"/>
    <w:rsid w:val="64491A1B"/>
    <w:rsid w:val="665C03F3"/>
    <w:rsid w:val="678A225F"/>
    <w:rsid w:val="690E41FF"/>
    <w:rsid w:val="6CD301AE"/>
    <w:rsid w:val="6F1E2AF5"/>
    <w:rsid w:val="6F2F58F2"/>
    <w:rsid w:val="710E00FE"/>
    <w:rsid w:val="722D5958"/>
    <w:rsid w:val="76DD311B"/>
    <w:rsid w:val="7B3D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仿宋" w:eastAsia="仿宋" w:hAnsiTheme="minorHAnsi" w:cstheme="minorBidi"/>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kern w:val="30"/>
      <w:sz w:val="32"/>
      <w:szCs w:val="32"/>
    </w:rPr>
  </w:style>
  <w:style w:type="character" w:default="1" w:styleId="11">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200" w:firstLineChars="200"/>
    </w:pPr>
    <w:rPr>
      <w:rFonts w:ascii="宋体" w:hAnsi="宋体" w:cs="宋体"/>
      <w:sz w:val="28"/>
      <w:szCs w:val="28"/>
    </w:rPr>
  </w:style>
  <w:style w:type="paragraph" w:styleId="5">
    <w:name w:val="Date"/>
    <w:basedOn w:val="1"/>
    <w:next w:val="1"/>
    <w:link w:val="22"/>
    <w:unhideWhenUsed/>
    <w:qFormat/>
    <w:uiPriority w:val="99"/>
    <w:pPr>
      <w:ind w:left="100" w:leftChars="2500"/>
    </w:pPr>
    <w:rPr>
      <w:rFonts w:ascii="仿宋" w:eastAsia="仿宋" w:hAnsiTheme="minorHAnsi" w:cstheme="minorBidi"/>
      <w:kern w:val="30"/>
      <w:sz w:val="30"/>
      <w:szCs w:val="20"/>
    </w:rPr>
  </w:style>
  <w:style w:type="paragraph" w:styleId="6">
    <w:name w:val="endnote text"/>
    <w:basedOn w:val="1"/>
    <w:link w:val="21"/>
    <w:unhideWhenUsed/>
    <w:qFormat/>
    <w:uiPriority w:val="99"/>
    <w:pPr>
      <w:snapToGrid w:val="0"/>
      <w:jc w:val="left"/>
    </w:pPr>
    <w:rPr>
      <w:rFonts w:ascii="仿宋" w:eastAsia="仿宋" w:hAnsiTheme="minorHAnsi" w:cstheme="minorBidi"/>
      <w:kern w:val="30"/>
      <w:sz w:val="30"/>
      <w:szCs w:val="20"/>
    </w:rPr>
  </w:style>
  <w:style w:type="paragraph" w:styleId="7">
    <w:name w:val="Balloon Text"/>
    <w:basedOn w:val="1"/>
    <w:link w:val="23"/>
    <w:unhideWhenUsed/>
    <w:qFormat/>
    <w:uiPriority w:val="99"/>
    <w:rPr>
      <w:rFonts w:ascii="仿宋" w:eastAsia="仿宋"/>
      <w:kern w:val="0"/>
      <w:sz w:val="18"/>
      <w:szCs w:val="18"/>
      <w:lang w:val="zh-CN"/>
    </w:rPr>
  </w:style>
  <w:style w:type="paragraph" w:styleId="8">
    <w:name w:val="footer"/>
    <w:basedOn w:val="1"/>
    <w:link w:val="20"/>
    <w:unhideWhenUsed/>
    <w:qFormat/>
    <w:uiPriority w:val="99"/>
    <w:pPr>
      <w:tabs>
        <w:tab w:val="center" w:pos="4153"/>
        <w:tab w:val="right" w:pos="8306"/>
      </w:tabs>
      <w:snapToGrid w:val="0"/>
      <w:jc w:val="left"/>
    </w:pPr>
    <w:rPr>
      <w:rFonts w:ascii="仿宋" w:eastAsia="仿宋" w:hAnsiTheme="minorHAnsi" w:cstheme="minorBidi"/>
      <w:kern w:val="30"/>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仿宋" w:eastAsia="仿宋" w:hAnsiTheme="minorHAnsi" w:cstheme="minorBidi"/>
      <w:kern w:val="3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仿宋" w:cs="宋体"/>
      <w:kern w:val="0"/>
      <w:sz w:val="24"/>
      <w:szCs w:val="24"/>
    </w:rPr>
  </w:style>
  <w:style w:type="table" w:styleId="13">
    <w:name w:val="Table Grid"/>
    <w:basedOn w:val="12"/>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4">
    <w:name w:val="列表段落1"/>
    <w:basedOn w:val="1"/>
    <w:qFormat/>
    <w:uiPriority w:val="99"/>
    <w:pPr>
      <w:ind w:firstLine="420" w:firstLineChars="200"/>
    </w:pPr>
    <w:rPr>
      <w:rFonts w:ascii="仿宋" w:eastAsia="仿宋" w:hAnsiTheme="minorHAnsi" w:cstheme="minorBidi"/>
      <w:kern w:val="30"/>
      <w:sz w:val="30"/>
    </w:rPr>
  </w:style>
  <w:style w:type="paragraph" w:customStyle="1" w:styleId="1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标题 1 Char"/>
    <w:basedOn w:val="11"/>
    <w:link w:val="2"/>
    <w:uiPriority w:val="9"/>
    <w:rPr>
      <w:rFonts w:ascii="仿宋" w:eastAsia="仿宋"/>
      <w:b/>
      <w:bCs/>
      <w:kern w:val="44"/>
      <w:sz w:val="44"/>
      <w:szCs w:val="44"/>
    </w:rPr>
  </w:style>
  <w:style w:type="character" w:customStyle="1" w:styleId="17">
    <w:name w:val="页脚 Char"/>
    <w:qFormat/>
    <w:uiPriority w:val="99"/>
    <w:rPr>
      <w:sz w:val="18"/>
      <w:szCs w:val="18"/>
    </w:rPr>
  </w:style>
  <w:style w:type="character" w:customStyle="1" w:styleId="18">
    <w:name w:val="标题 2 Char"/>
    <w:basedOn w:val="11"/>
    <w:link w:val="3"/>
    <w:qFormat/>
    <w:uiPriority w:val="9"/>
    <w:rPr>
      <w:rFonts w:asciiTheme="majorHAnsi" w:hAnsiTheme="majorHAnsi" w:eastAsiaTheme="majorEastAsia" w:cstheme="majorBidi"/>
      <w:b/>
      <w:bCs/>
      <w:kern w:val="30"/>
      <w:sz w:val="32"/>
      <w:szCs w:val="32"/>
    </w:rPr>
  </w:style>
  <w:style w:type="character" w:customStyle="1" w:styleId="19">
    <w:name w:val="页眉 Char"/>
    <w:basedOn w:val="11"/>
    <w:link w:val="9"/>
    <w:qFormat/>
    <w:uiPriority w:val="99"/>
    <w:rPr>
      <w:rFonts w:ascii="仿宋" w:eastAsia="仿宋"/>
      <w:kern w:val="30"/>
      <w:sz w:val="18"/>
      <w:szCs w:val="18"/>
    </w:rPr>
  </w:style>
  <w:style w:type="character" w:customStyle="1" w:styleId="20">
    <w:name w:val="页脚 Char1"/>
    <w:basedOn w:val="11"/>
    <w:link w:val="8"/>
    <w:qFormat/>
    <w:uiPriority w:val="99"/>
    <w:rPr>
      <w:rFonts w:ascii="仿宋" w:eastAsia="仿宋"/>
      <w:kern w:val="30"/>
      <w:sz w:val="18"/>
      <w:szCs w:val="18"/>
    </w:rPr>
  </w:style>
  <w:style w:type="character" w:customStyle="1" w:styleId="21">
    <w:name w:val="尾注文本 Char"/>
    <w:basedOn w:val="11"/>
    <w:link w:val="6"/>
    <w:qFormat/>
    <w:uiPriority w:val="99"/>
    <w:rPr>
      <w:rFonts w:ascii="仿宋" w:eastAsia="仿宋"/>
      <w:kern w:val="30"/>
      <w:sz w:val="30"/>
    </w:rPr>
  </w:style>
  <w:style w:type="character" w:customStyle="1" w:styleId="22">
    <w:name w:val="日期 Char"/>
    <w:basedOn w:val="11"/>
    <w:link w:val="5"/>
    <w:qFormat/>
    <w:uiPriority w:val="99"/>
    <w:rPr>
      <w:rFonts w:ascii="仿宋" w:eastAsia="仿宋"/>
      <w:kern w:val="30"/>
      <w:sz w:val="30"/>
    </w:rPr>
  </w:style>
  <w:style w:type="character" w:customStyle="1" w:styleId="23">
    <w:name w:val="批注框文本 Char"/>
    <w:link w:val="7"/>
    <w:qFormat/>
    <w:uiPriority w:val="99"/>
    <w:rPr>
      <w:rFonts w:ascii="仿宋" w:hAnsi="Calibri" w:eastAsia="仿宋" w:cs="Times New Roman"/>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1712</Words>
  <Characters>9763</Characters>
  <Lines>81</Lines>
  <Paragraphs>22</Paragraphs>
  <TotalTime>351</TotalTime>
  <ScaleCrop>false</ScaleCrop>
  <LinksUpToDate>false</LinksUpToDate>
  <CharactersWithSpaces>11453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2021-03-14T08:54:00Z</dcterms:created>
  <dc:creator>李冬玲</dc:creator>
  <cp:lastModifiedBy>李音皎</cp:lastModifiedBy>
  <dcterms:modified xsi:type="dcterms:W3CDTF">2021-12-15T02:41:35Z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