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方正小标宋_GBK" w:cs="方正小标宋_GBK"/>
          <w:color w:val="auto"/>
          <w:sz w:val="44"/>
          <w:szCs w:val="44"/>
          <w:highlight w:val="none"/>
          <w:lang w:val="en-US"/>
        </w:rPr>
      </w:pPr>
      <w:r>
        <w:rPr>
          <w:rFonts w:hint="eastAsia" w:eastAsia="方正小标宋_GBK" w:cs="方正小标宋_GBK"/>
          <w:color w:val="auto"/>
          <w:sz w:val="44"/>
          <w:szCs w:val="44"/>
          <w:highlight w:val="none"/>
          <w:lang w:val="en-US"/>
        </w:rPr>
        <w:t>云南省医疗保障行政处罚裁量基准规则</w:t>
      </w:r>
    </w:p>
    <w:p>
      <w:pPr>
        <w:spacing w:line="580" w:lineRule="exact"/>
        <w:jc w:val="center"/>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（修订稿）</w:t>
      </w:r>
    </w:p>
    <w:p>
      <w:pPr>
        <w:spacing w:line="580" w:lineRule="exact"/>
        <w:jc w:val="center"/>
        <w:rPr>
          <w:rFonts w:hint="eastAsia" w:ascii="方正楷体_GBK" w:hAnsi="方正楷体_GBK" w:eastAsia="方正楷体_GBK" w:cs="方正楷体_GBK"/>
          <w:color w:val="auto"/>
          <w:sz w:val="32"/>
          <w:szCs w:val="32"/>
          <w:highlight w:val="none"/>
          <w:lang w:val="en-US"/>
        </w:rPr>
      </w:pPr>
    </w:p>
    <w:p>
      <w:pPr>
        <w:pStyle w:val="7"/>
        <w:spacing w:before="0" w:beforeAutospacing="0" w:after="0" w:afterAutospacing="0" w:line="580" w:lineRule="exact"/>
        <w:ind w:firstLine="640" w:firstLineChars="200"/>
        <w:jc w:val="both"/>
        <w:rPr>
          <w:rFonts w:ascii="Times New Roman" w:hAnsi="Times New Roman" w:eastAsia="方正仿宋_GBK" w:cs="Times New Roman"/>
          <w:color w:val="auto"/>
          <w:sz w:val="32"/>
          <w:szCs w:val="32"/>
          <w:highlight w:val="none"/>
        </w:rPr>
      </w:pPr>
      <w:r>
        <w:rPr>
          <w:rFonts w:hint="eastAsia" w:ascii="方正黑体_GBK" w:hAnsi="方正黑体_GBK" w:eastAsia="方正黑体_GBK" w:cs="方正黑体_GBK"/>
          <w:color w:val="auto"/>
          <w:sz w:val="32"/>
          <w:szCs w:val="32"/>
          <w:highlight w:val="none"/>
        </w:rPr>
        <w:t>第一条</w:t>
      </w:r>
      <w:r>
        <w:rPr>
          <w:rFonts w:hint="eastAsia" w:ascii="仿宋_GB2312" w:hAnsi="仿宋_GB2312" w:eastAsia="仿宋_GB2312" w:cs="仿宋_GB2312"/>
          <w:color w:val="auto"/>
          <w:sz w:val="32"/>
          <w:szCs w:val="32"/>
          <w:highlight w:val="none"/>
          <w:lang w:val="en-US"/>
        </w:rPr>
        <w:t xml:space="preserve"> </w:t>
      </w:r>
      <w:r>
        <w:rPr>
          <w:rFonts w:ascii="Times New Roman" w:hAnsi="Times New Roman" w:eastAsia="方正仿宋_GBK" w:cs="Times New Roman"/>
          <w:color w:val="auto"/>
          <w:sz w:val="32"/>
          <w:szCs w:val="32"/>
          <w:highlight w:val="none"/>
        </w:rPr>
        <w:t>为了进一步规范全省</w:t>
      </w:r>
      <w:r>
        <w:rPr>
          <w:rFonts w:ascii="Times New Roman" w:hAnsi="Times New Roman" w:eastAsia="方正仿宋_GBK" w:cs="Times New Roman"/>
          <w:color w:val="auto"/>
          <w:sz w:val="32"/>
          <w:szCs w:val="32"/>
          <w:highlight w:val="none"/>
          <w:lang w:val="en-US"/>
        </w:rPr>
        <w:t>医疗保障</w:t>
      </w:r>
      <w:r>
        <w:rPr>
          <w:rFonts w:ascii="Times New Roman" w:hAnsi="Times New Roman" w:eastAsia="方正仿宋_GBK" w:cs="Times New Roman"/>
          <w:color w:val="auto"/>
          <w:sz w:val="32"/>
          <w:szCs w:val="32"/>
          <w:highlight w:val="none"/>
        </w:rPr>
        <w:t>行政处罚行为，建立健全行政处罚裁量基准制度，保护公民、法人和其他组织的合法权益，根据《中华人民共和国行政处罚法》《</w:t>
      </w:r>
      <w:r>
        <w:rPr>
          <w:rFonts w:ascii="Times New Roman" w:hAnsi="Times New Roman" w:eastAsia="方正仿宋_GBK" w:cs="Times New Roman"/>
          <w:color w:val="auto"/>
          <w:sz w:val="32"/>
          <w:szCs w:val="32"/>
          <w:highlight w:val="none"/>
          <w:lang w:val="en-US"/>
        </w:rPr>
        <w:t>中华人民共和国社会保险法</w:t>
      </w:r>
      <w:r>
        <w:rPr>
          <w:rFonts w:ascii="Times New Roman" w:hAnsi="Times New Roman" w:eastAsia="方正仿宋_GBK" w:cs="Times New Roman"/>
          <w:color w:val="auto"/>
          <w:sz w:val="32"/>
          <w:szCs w:val="32"/>
          <w:highlight w:val="none"/>
        </w:rPr>
        <w:t>》《医疗保障基金使用监督管理条例》等法律法规</w:t>
      </w:r>
      <w:r>
        <w:rPr>
          <w:rFonts w:ascii="Times New Roman" w:hAnsi="Times New Roman" w:eastAsia="方正仿宋_GBK" w:cs="Times New Roman"/>
          <w:color w:val="auto"/>
          <w:sz w:val="32"/>
          <w:szCs w:val="32"/>
          <w:highlight w:val="none"/>
          <w:lang w:val="en-US"/>
        </w:rPr>
        <w:t>及</w:t>
      </w: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国家医疗保障局关于印发</w:t>
      </w:r>
      <w:r>
        <w:rPr>
          <w:rFonts w:hint="eastAsia" w:ascii="方正仿宋_GBK" w:hAnsi="方正仿宋_GBK" w:eastAsia="方正仿宋_GBK" w:cs="方正仿宋_GBK"/>
          <w:color w:val="auto"/>
          <w:sz w:val="32"/>
          <w:szCs w:val="32"/>
          <w:highlight w:val="none"/>
          <w:lang w:eastAsia="zh-CN"/>
        </w:rPr>
        <w:t>〈</w:t>
      </w:r>
      <w:r>
        <w:rPr>
          <w:rFonts w:ascii="Times New Roman" w:hAnsi="Times New Roman" w:eastAsia="方正仿宋_GBK" w:cs="Times New Roman"/>
          <w:color w:val="auto"/>
          <w:sz w:val="32"/>
          <w:szCs w:val="32"/>
          <w:highlight w:val="none"/>
        </w:rPr>
        <w:t>规范医疗保障基金使用监督管理行政处罚裁量权办法</w:t>
      </w:r>
      <w:r>
        <w:rPr>
          <w:rFonts w:hint="eastAsia" w:ascii="方正仿宋_GBK" w:hAnsi="方正仿宋_GBK" w:eastAsia="方正仿宋_GBK" w:cs="方正仿宋_GBK"/>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的通知</w:t>
      </w:r>
      <w:r>
        <w:rPr>
          <w:rFonts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lang w:val="en-US"/>
        </w:rPr>
        <w:t>医保发〔2021〕35号）</w:t>
      </w:r>
      <w:r>
        <w:rPr>
          <w:rFonts w:ascii="Times New Roman" w:hAnsi="Times New Roman" w:eastAsia="方正仿宋_GBK" w:cs="Times New Roman"/>
          <w:color w:val="auto"/>
          <w:sz w:val="32"/>
          <w:szCs w:val="32"/>
          <w:highlight w:val="none"/>
        </w:rPr>
        <w:t>规定，结合全省</w:t>
      </w:r>
      <w:r>
        <w:rPr>
          <w:rFonts w:ascii="Times New Roman" w:hAnsi="Times New Roman" w:eastAsia="方正仿宋_GBK" w:cs="Times New Roman"/>
          <w:color w:val="auto"/>
          <w:sz w:val="32"/>
          <w:szCs w:val="32"/>
          <w:highlight w:val="none"/>
          <w:lang w:val="en-US"/>
        </w:rPr>
        <w:t>医疗保障监管</w:t>
      </w:r>
      <w:r>
        <w:rPr>
          <w:rFonts w:ascii="Times New Roman" w:hAnsi="Times New Roman" w:eastAsia="方正仿宋_GBK" w:cs="Times New Roman"/>
          <w:color w:val="auto"/>
          <w:sz w:val="32"/>
          <w:szCs w:val="32"/>
          <w:highlight w:val="none"/>
        </w:rPr>
        <w:t>工作实际，制定本基准规则。</w:t>
      </w:r>
    </w:p>
    <w:p>
      <w:pPr>
        <w:spacing w:line="580" w:lineRule="exact"/>
        <w:ind w:firstLine="640" w:firstLineChars="200"/>
        <w:rPr>
          <w:rFonts w:ascii="Times New Roman" w:hAnsi="Times New Roman" w:eastAsia="方正仿宋_GBK"/>
          <w:color w:val="auto"/>
          <w:kern w:val="0"/>
          <w:sz w:val="32"/>
          <w:szCs w:val="32"/>
          <w:highlight w:val="none"/>
        </w:rPr>
      </w:pPr>
      <w:r>
        <w:rPr>
          <w:rFonts w:hint="eastAsia" w:ascii="方正黑体_GBK" w:hAnsi="方正黑体_GBK" w:eastAsia="方正黑体_GBK" w:cs="方正黑体_GBK"/>
          <w:b w:val="0"/>
          <w:bCs w:val="0"/>
          <w:color w:val="auto"/>
          <w:kern w:val="0"/>
          <w:sz w:val="32"/>
          <w:szCs w:val="32"/>
          <w:highlight w:val="none"/>
        </w:rPr>
        <w:t>第二条</w:t>
      </w:r>
      <w:r>
        <w:rPr>
          <w:rFonts w:hint="eastAsia" w:ascii="方正黑体_GBK" w:hAnsi="方正黑体_GBK" w:eastAsia="方正黑体_GBK" w:cs="方正黑体_GBK"/>
          <w:color w:val="auto"/>
          <w:kern w:val="0"/>
          <w:sz w:val="32"/>
          <w:szCs w:val="32"/>
          <w:highlight w:val="none"/>
          <w:lang w:val="en-GB"/>
        </w:rPr>
        <w:t xml:space="preserve"> </w:t>
      </w:r>
      <w:r>
        <w:rPr>
          <w:rFonts w:ascii="Times New Roman" w:hAnsi="Times New Roman" w:eastAsia="方正仿宋_GBK"/>
          <w:color w:val="auto"/>
          <w:sz w:val="32"/>
          <w:szCs w:val="32"/>
          <w:highlight w:val="none"/>
        </w:rPr>
        <w:t>本基准规则所称行政处罚裁量权，是指</w:t>
      </w:r>
      <w:r>
        <w:rPr>
          <w:rFonts w:ascii="Times New Roman" w:hAnsi="Times New Roman" w:eastAsia="方正仿宋_GBK"/>
          <w:color w:val="auto"/>
          <w:sz w:val="32"/>
          <w:szCs w:val="32"/>
          <w:highlight w:val="none"/>
          <w:lang w:val="en-US"/>
        </w:rPr>
        <w:t>医疗保障行政</w:t>
      </w:r>
      <w:r>
        <w:rPr>
          <w:rFonts w:ascii="Times New Roman" w:hAnsi="Times New Roman" w:eastAsia="方正仿宋_GBK"/>
          <w:color w:val="auto"/>
          <w:sz w:val="32"/>
          <w:szCs w:val="32"/>
          <w:highlight w:val="none"/>
        </w:rPr>
        <w:t>部门在实施行政处罚时，依据法律</w:t>
      </w:r>
      <w:r>
        <w:rPr>
          <w:rFonts w:hint="eastAsia" w:ascii="Times New Roman" w:hAnsi="Times New Roman" w:eastAsia="方正仿宋_GBK"/>
          <w:color w:val="auto"/>
          <w:sz w:val="32"/>
          <w:szCs w:val="32"/>
          <w:highlight w:val="none"/>
          <w:lang w:eastAsia="zh-Hans"/>
        </w:rPr>
        <w:t>、</w:t>
      </w:r>
      <w:r>
        <w:rPr>
          <w:rFonts w:ascii="Times New Roman" w:hAnsi="Times New Roman" w:eastAsia="方正仿宋_GBK"/>
          <w:color w:val="auto"/>
          <w:sz w:val="32"/>
          <w:szCs w:val="32"/>
          <w:highlight w:val="none"/>
          <w:lang w:val="en-US"/>
        </w:rPr>
        <w:t>法规</w:t>
      </w:r>
      <w:r>
        <w:rPr>
          <w:rFonts w:hint="eastAsia" w:ascii="Times New Roman" w:hAnsi="Times New Roman" w:eastAsia="方正仿宋_GBK"/>
          <w:color w:val="auto"/>
          <w:sz w:val="32"/>
          <w:szCs w:val="32"/>
          <w:highlight w:val="none"/>
          <w:lang w:val="en-US" w:eastAsia="zh-Hans"/>
        </w:rPr>
        <w:t>、规章</w:t>
      </w:r>
      <w:r>
        <w:rPr>
          <w:rFonts w:ascii="Times New Roman" w:hAnsi="Times New Roman" w:eastAsia="方正仿宋_GBK"/>
          <w:color w:val="auto"/>
          <w:sz w:val="32"/>
          <w:szCs w:val="32"/>
          <w:highlight w:val="none"/>
          <w:lang w:val="en-US"/>
        </w:rPr>
        <w:t>的</w:t>
      </w:r>
      <w:r>
        <w:rPr>
          <w:rFonts w:ascii="Times New Roman" w:hAnsi="Times New Roman" w:eastAsia="方正仿宋_GBK"/>
          <w:color w:val="auto"/>
          <w:sz w:val="32"/>
          <w:szCs w:val="32"/>
          <w:highlight w:val="none"/>
        </w:rPr>
        <w:t>规定，综合考量违法行为的事实、性质、情节、社会危害程度以及当事人主观过错等</w:t>
      </w:r>
      <w:r>
        <w:rPr>
          <w:rFonts w:ascii="Times New Roman" w:hAnsi="Times New Roman" w:eastAsia="方正仿宋_GBK"/>
          <w:color w:val="auto"/>
          <w:kern w:val="0"/>
          <w:sz w:val="32"/>
          <w:szCs w:val="32"/>
          <w:highlight w:val="none"/>
        </w:rPr>
        <w:t>因素，决定是否给予行政处罚、给予行政处罚的种类和幅度的权限。</w:t>
      </w:r>
    </w:p>
    <w:p>
      <w:pPr>
        <w:pStyle w:val="7"/>
        <w:spacing w:before="0" w:beforeAutospacing="0" w:after="0" w:afterAutospacing="0" w:line="580" w:lineRule="exact"/>
        <w:ind w:firstLine="640" w:firstLineChars="200"/>
        <w:jc w:val="both"/>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第三条</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z w:val="32"/>
          <w:szCs w:val="32"/>
          <w:highlight w:val="none"/>
        </w:rPr>
        <w:t>全省各级</w:t>
      </w:r>
      <w:r>
        <w:rPr>
          <w:rFonts w:hint="eastAsia" w:ascii="方正仿宋_GBK" w:hAnsi="方正仿宋_GBK" w:eastAsia="方正仿宋_GBK" w:cs="方正仿宋_GBK"/>
          <w:color w:val="auto"/>
          <w:sz w:val="32"/>
          <w:szCs w:val="32"/>
          <w:highlight w:val="none"/>
          <w:lang w:val="en-US"/>
        </w:rPr>
        <w:t>医疗保障</w:t>
      </w:r>
      <w:r>
        <w:rPr>
          <w:rFonts w:hint="eastAsia" w:ascii="方正仿宋_GBK" w:hAnsi="方正仿宋_GBK" w:eastAsia="方正仿宋_GBK" w:cs="方正仿宋_GBK"/>
          <w:color w:val="auto"/>
          <w:sz w:val="32"/>
          <w:szCs w:val="32"/>
          <w:highlight w:val="none"/>
        </w:rPr>
        <w:t>行政部门</w:t>
      </w:r>
      <w:r>
        <w:rPr>
          <w:rFonts w:hint="eastAsia" w:ascii="方正仿宋_GBK" w:hAnsi="方正仿宋_GBK" w:eastAsia="方正仿宋_GBK" w:cs="方正仿宋_GBK"/>
          <w:color w:val="auto"/>
          <w:sz w:val="32"/>
          <w:szCs w:val="32"/>
          <w:highlight w:val="none"/>
          <w:lang w:val="en-US"/>
        </w:rPr>
        <w:t>及</w:t>
      </w:r>
      <w:r>
        <w:rPr>
          <w:rFonts w:hint="eastAsia" w:ascii="方正仿宋_GBK" w:hAnsi="方正仿宋_GBK" w:eastAsia="方正仿宋_GBK" w:cs="方正仿宋_GBK"/>
          <w:color w:val="auto"/>
          <w:sz w:val="32"/>
          <w:szCs w:val="32"/>
          <w:highlight w:val="none"/>
        </w:rPr>
        <w:t>受委托</w:t>
      </w:r>
      <w:r>
        <w:rPr>
          <w:rFonts w:hint="eastAsia" w:ascii="方正仿宋_GBK" w:hAnsi="方正仿宋_GBK" w:eastAsia="方正仿宋_GBK" w:cs="方正仿宋_GBK"/>
          <w:color w:val="auto"/>
          <w:sz w:val="32"/>
          <w:szCs w:val="32"/>
          <w:highlight w:val="none"/>
          <w:lang w:val="en-US"/>
        </w:rPr>
        <w:t>组织</w:t>
      </w:r>
      <w:r>
        <w:rPr>
          <w:rFonts w:hint="eastAsia" w:ascii="方正仿宋_GBK" w:hAnsi="方正仿宋_GBK" w:eastAsia="方正仿宋_GBK" w:cs="方正仿宋_GBK"/>
          <w:color w:val="auto"/>
          <w:sz w:val="32"/>
          <w:szCs w:val="32"/>
          <w:highlight w:val="none"/>
        </w:rPr>
        <w:t>行使行政处罚裁量权，适用本基准规则。</w:t>
      </w:r>
    </w:p>
    <w:p>
      <w:pPr>
        <w:spacing w:line="580" w:lineRule="exact"/>
        <w:ind w:firstLine="640" w:firstLineChars="200"/>
        <w:rPr>
          <w:rFonts w:hint="eastAsia" w:ascii="方正黑体_GBK" w:hAnsi="方正黑体_GBK" w:eastAsia="方正黑体_GBK" w:cs="方正黑体_GBK"/>
          <w:color w:val="auto"/>
          <w:sz w:val="32"/>
          <w:szCs w:val="32"/>
          <w:highlight w:val="none"/>
        </w:rPr>
      </w:pPr>
      <w:r>
        <w:rPr>
          <w:rFonts w:hint="eastAsia" w:ascii="方正仿宋_GBK" w:hAnsi="方正仿宋_GBK" w:eastAsia="方正仿宋_GBK" w:cs="方正仿宋_GBK"/>
          <w:color w:val="auto"/>
          <w:kern w:val="0"/>
          <w:sz w:val="32"/>
          <w:szCs w:val="32"/>
          <w:highlight w:val="none"/>
          <w:lang w:val="en-US"/>
        </w:rPr>
        <w:t>法律、法规</w:t>
      </w:r>
      <w:r>
        <w:rPr>
          <w:rFonts w:hint="eastAsia" w:ascii="方正仿宋_GBK" w:hAnsi="方正仿宋_GBK" w:eastAsia="方正仿宋_GBK" w:cs="方正仿宋_GBK"/>
          <w:color w:val="auto"/>
          <w:kern w:val="0"/>
          <w:sz w:val="32"/>
          <w:szCs w:val="32"/>
          <w:highlight w:val="none"/>
          <w:lang w:val="en-US" w:eastAsia="zh-CN"/>
        </w:rPr>
        <w:t>、规章</w:t>
      </w:r>
      <w:r>
        <w:rPr>
          <w:rFonts w:hint="eastAsia" w:ascii="方正仿宋_GBK" w:hAnsi="方正仿宋_GBK" w:eastAsia="方正仿宋_GBK" w:cs="方正仿宋_GBK"/>
          <w:color w:val="auto"/>
          <w:sz w:val="32"/>
          <w:szCs w:val="32"/>
          <w:highlight w:val="none"/>
          <w:lang w:val="en-US" w:eastAsia="zh-CN"/>
        </w:rPr>
        <w:t>另有规定的</w:t>
      </w:r>
      <w:r>
        <w:rPr>
          <w:rFonts w:hint="eastAsia" w:ascii="方正仿宋_GBK" w:hAnsi="方正仿宋_GBK" w:eastAsia="方正仿宋_GBK" w:cs="方正仿宋_GBK"/>
          <w:color w:val="auto"/>
          <w:sz w:val="32"/>
          <w:szCs w:val="32"/>
          <w:highlight w:val="none"/>
        </w:rPr>
        <w:t>，从其规定。</w:t>
      </w:r>
      <w:r>
        <w:rPr>
          <w:rFonts w:hint="eastAsia" w:ascii="方正黑体_GBK" w:hAnsi="方正黑体_GBK" w:eastAsia="方正黑体_GBK" w:cs="方正黑体_GBK"/>
          <w:color w:val="auto"/>
          <w:sz w:val="32"/>
          <w:szCs w:val="32"/>
          <w:highlight w:val="none"/>
          <w:lang w:eastAsia="zh-CN"/>
        </w:rPr>
        <w:t>（此款修改了表述）</w:t>
      </w:r>
    </w:p>
    <w:p>
      <w:pPr>
        <w:spacing w:line="580" w:lineRule="exact"/>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w:t>
      </w:r>
      <w:r>
        <w:rPr>
          <w:rFonts w:hint="eastAsia" w:ascii="方正黑体_GBK" w:hAnsi="方正黑体_GBK" w:eastAsia="方正黑体_GBK" w:cs="方正黑体_GBK"/>
          <w:color w:val="auto"/>
          <w:sz w:val="32"/>
          <w:szCs w:val="32"/>
          <w:highlight w:val="none"/>
          <w:lang w:val="en-US"/>
        </w:rPr>
        <w:t>四</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rPr>
        <w:t xml:space="preserve"> 全省各级</w:t>
      </w:r>
      <w:r>
        <w:rPr>
          <w:rFonts w:hint="eastAsia" w:ascii="方正仿宋_GBK" w:hAnsi="方正仿宋_GBK" w:eastAsia="方正仿宋_GBK" w:cs="方正仿宋_GBK"/>
          <w:color w:val="auto"/>
          <w:sz w:val="32"/>
          <w:szCs w:val="32"/>
          <w:highlight w:val="none"/>
          <w:lang w:val="en-US"/>
        </w:rPr>
        <w:t>医疗保障行政</w:t>
      </w:r>
      <w:r>
        <w:rPr>
          <w:rFonts w:hint="eastAsia" w:ascii="方正仿宋_GBK" w:hAnsi="方正仿宋_GBK" w:eastAsia="方正仿宋_GBK" w:cs="方正仿宋_GBK"/>
          <w:color w:val="auto"/>
          <w:sz w:val="32"/>
          <w:szCs w:val="32"/>
          <w:highlight w:val="none"/>
        </w:rPr>
        <w:t>部门行使行政处罚裁量权，应当遵循公平公正、合法合规、程序正当、过罚相当、罚教结合、综合裁量</w:t>
      </w:r>
      <w:r>
        <w:rPr>
          <w:rFonts w:hint="eastAsia" w:ascii="方正仿宋_GBK" w:hAnsi="方正仿宋_GBK" w:eastAsia="方正仿宋_GBK" w:cs="方正仿宋_GBK"/>
          <w:color w:val="auto"/>
          <w:sz w:val="32"/>
          <w:szCs w:val="32"/>
          <w:highlight w:val="none"/>
          <w:lang w:val="en-US"/>
        </w:rPr>
        <w:t>以及保障当事人合法权益</w:t>
      </w:r>
      <w:r>
        <w:rPr>
          <w:rFonts w:hint="eastAsia" w:ascii="方正仿宋_GBK" w:hAnsi="方正仿宋_GBK" w:eastAsia="方正仿宋_GBK" w:cs="方正仿宋_GBK"/>
          <w:color w:val="auto"/>
          <w:sz w:val="32"/>
          <w:szCs w:val="32"/>
          <w:highlight w:val="none"/>
          <w:lang w:val="en-US" w:eastAsia="zh-Hans"/>
        </w:rPr>
        <w:t>的</w:t>
      </w:r>
      <w:r>
        <w:rPr>
          <w:rFonts w:hint="eastAsia" w:ascii="方正仿宋_GBK" w:hAnsi="方正仿宋_GBK" w:eastAsia="方正仿宋_GBK" w:cs="方正仿宋_GBK"/>
          <w:color w:val="auto"/>
          <w:sz w:val="32"/>
          <w:szCs w:val="32"/>
          <w:highlight w:val="none"/>
          <w:lang w:val="en-US"/>
        </w:rPr>
        <w:t>原则</w:t>
      </w:r>
      <w:r>
        <w:rPr>
          <w:rFonts w:hint="eastAsia" w:ascii="方正仿宋_GBK" w:hAnsi="方正仿宋_GBK" w:eastAsia="方正仿宋_GBK" w:cs="方正仿宋_GBK"/>
          <w:color w:val="auto"/>
          <w:sz w:val="32"/>
          <w:szCs w:val="32"/>
          <w:highlight w:val="none"/>
        </w:rPr>
        <w:t>。</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lang w:val="en-US"/>
        </w:rPr>
        <w:t>第五条</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z w:val="32"/>
          <w:szCs w:val="32"/>
          <w:highlight w:val="none"/>
        </w:rPr>
        <w:t>行政处罚裁量分为不予行政处罚、减轻行政处罚、从轻行政处罚、一般行政处罚和从重行政处罚等情形。</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（一）不予行政处罚是指对违法行为予以认定，因法定事由对特定违法行为不给予行政处罚。</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（二）减轻行政处罚是指适用法定行政处罚最低限度以下的处罚种类或</w:t>
      </w:r>
      <w:r>
        <w:rPr>
          <w:rFonts w:hint="eastAsia" w:ascii="方正仿宋_GBK" w:hAnsi="方正仿宋_GBK" w:eastAsia="方正仿宋_GBK" w:cs="方正仿宋_GBK"/>
          <w:color w:val="auto"/>
          <w:sz w:val="32"/>
          <w:szCs w:val="32"/>
          <w:highlight w:val="none"/>
          <w:lang w:val="en-US"/>
        </w:rPr>
        <w:t>者</w:t>
      </w:r>
      <w:r>
        <w:rPr>
          <w:rFonts w:hint="eastAsia" w:ascii="方正仿宋_GBK" w:hAnsi="方正仿宋_GBK" w:eastAsia="方正仿宋_GBK" w:cs="方正仿宋_GBK"/>
          <w:color w:val="auto"/>
          <w:sz w:val="32"/>
          <w:szCs w:val="32"/>
          <w:highlight w:val="none"/>
        </w:rPr>
        <w:t>处罚幅度。包括在违法行为应当受到的一种或者几种处罚种类之外选择更轻的处罚种类，或者在应当并处时不并处，也包括在法定最低罚款限值以下确定罚款数额。</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（三）从轻行政处罚是指在依法可以选择的处罚种类和处罚幅度内，适用较轻、较少的处罚种类或者较低的处罚幅度。其中，罚款的数额应当为从最低限到最高限这一幅度中较低的</w:t>
      </w:r>
      <w:r>
        <w:rPr>
          <w:rFonts w:hint="eastAsia" w:ascii="方正仿宋_GBK" w:hAnsi="方正仿宋_GBK" w:eastAsia="方正仿宋_GBK" w:cs="方正仿宋_GBK"/>
          <w:color w:val="auto"/>
          <w:sz w:val="32"/>
          <w:szCs w:val="32"/>
          <w:highlight w:val="none"/>
          <w:lang w:val="en-US"/>
        </w:rPr>
        <w:t>百分之三十</w:t>
      </w:r>
      <w:r>
        <w:rPr>
          <w:rFonts w:hint="eastAsia" w:ascii="方正仿宋_GBK" w:hAnsi="方正仿宋_GBK" w:eastAsia="方正仿宋_GBK" w:cs="方正仿宋_GBK"/>
          <w:color w:val="auto"/>
          <w:sz w:val="32"/>
          <w:szCs w:val="32"/>
          <w:highlight w:val="none"/>
        </w:rPr>
        <w:t>部分（</w:t>
      </w:r>
      <w:r>
        <w:rPr>
          <w:rFonts w:hint="eastAsia" w:ascii="方正仿宋_GBK" w:hAnsi="方正仿宋_GBK" w:eastAsia="方正仿宋_GBK" w:cs="方正仿宋_GBK"/>
          <w:color w:val="auto"/>
          <w:sz w:val="32"/>
          <w:szCs w:val="32"/>
          <w:highlight w:val="none"/>
          <w:lang w:val="en-US"/>
        </w:rPr>
        <w:t>不</w:t>
      </w:r>
      <w:r>
        <w:rPr>
          <w:rFonts w:hint="eastAsia" w:ascii="方正仿宋_GBK" w:hAnsi="方正仿宋_GBK" w:eastAsia="方正仿宋_GBK" w:cs="方正仿宋_GBK"/>
          <w:color w:val="auto"/>
          <w:sz w:val="32"/>
          <w:szCs w:val="32"/>
          <w:highlight w:val="none"/>
        </w:rPr>
        <w:t>含本数）。</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（四）一般行政处罚是指在依法可以选择的处罚种类和处罚幅度内，适用适中的处罚种类或者处罚幅度。其中，罚款的数额应当为从最低限到最高限这一幅度中的百分之三十至百分之七十部分（不含本数）。</w:t>
      </w:r>
    </w:p>
    <w:p>
      <w:pPr>
        <w:spacing w:line="580" w:lineRule="exact"/>
        <w:ind w:firstLine="640" w:firstLineChars="200"/>
        <w:rPr>
          <w:rFonts w:hint="eastAsia" w:ascii="方正楷体_GBK" w:hAnsi="方正楷体_GBK" w:eastAsia="方正楷体_GBK" w:cs="方正楷体_GBK"/>
          <w:color w:val="auto"/>
          <w:sz w:val="28"/>
          <w:szCs w:val="28"/>
          <w:highlight w:val="none"/>
          <w:lang w:val="en-US"/>
        </w:rPr>
      </w:pPr>
      <w:r>
        <w:rPr>
          <w:rFonts w:hint="eastAsia" w:ascii="方正仿宋_GBK" w:hAnsi="方正仿宋_GBK" w:eastAsia="方正仿宋_GBK" w:cs="方正仿宋_GBK"/>
          <w:color w:val="auto"/>
          <w:sz w:val="32"/>
          <w:szCs w:val="32"/>
          <w:highlight w:val="none"/>
        </w:rPr>
        <w:t>（五）从重行政处罚是指在依法可以选择的处罚种类和处罚幅度内，适用较重、较多的处罚种类或者较高的处罚幅度。其中，罚款的数额应当为从最低限到最高限这一幅度中较高的</w:t>
      </w:r>
      <w:r>
        <w:rPr>
          <w:rFonts w:hint="eastAsia" w:ascii="方正仿宋_GBK" w:hAnsi="方正仿宋_GBK" w:eastAsia="方正仿宋_GBK" w:cs="方正仿宋_GBK"/>
          <w:color w:val="auto"/>
          <w:sz w:val="32"/>
          <w:szCs w:val="32"/>
          <w:highlight w:val="none"/>
          <w:lang w:val="en-US"/>
        </w:rPr>
        <w:t>百分之七十</w:t>
      </w:r>
      <w:r>
        <w:rPr>
          <w:rFonts w:hint="eastAsia" w:ascii="方正仿宋_GBK" w:hAnsi="方正仿宋_GBK" w:eastAsia="方正仿宋_GBK" w:cs="方正仿宋_GBK"/>
          <w:color w:val="auto"/>
          <w:sz w:val="32"/>
          <w:szCs w:val="32"/>
          <w:highlight w:val="none"/>
        </w:rPr>
        <w:t>部分（含本数）。</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w:t>
      </w:r>
      <w:r>
        <w:rPr>
          <w:rFonts w:hint="eastAsia" w:ascii="方正黑体_GBK" w:hAnsi="方正黑体_GBK" w:eastAsia="方正黑体_GBK" w:cs="方正黑体_GBK"/>
          <w:color w:val="auto"/>
          <w:sz w:val="32"/>
          <w:szCs w:val="32"/>
          <w:highlight w:val="none"/>
          <w:lang w:val="en-US"/>
        </w:rPr>
        <w:t>六</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rPr>
        <w:t xml:space="preserve"> 当事人有下列情形之一的，不予行政处罚：</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（一）不满十四周岁的未成年人有违法行为的</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（二）精神病人、智力残疾人在不能辨认或者不能控制自己行为时</w:t>
      </w:r>
      <w:r>
        <w:rPr>
          <w:rFonts w:hint="eastAsia" w:ascii="方正仿宋_GBK" w:hAnsi="方正仿宋_GBK" w:eastAsia="方正仿宋_GBK" w:cs="方正仿宋_GBK"/>
          <w:color w:val="auto"/>
          <w:sz w:val="32"/>
          <w:szCs w:val="32"/>
          <w:highlight w:val="none"/>
          <w:lang w:val="en-US"/>
        </w:rPr>
        <w:t>实施</w:t>
      </w:r>
      <w:r>
        <w:rPr>
          <w:rFonts w:hint="eastAsia" w:ascii="方正仿宋_GBK" w:hAnsi="方正仿宋_GBK" w:eastAsia="方正仿宋_GBK" w:cs="方正仿宋_GBK"/>
          <w:color w:val="auto"/>
          <w:sz w:val="32"/>
          <w:szCs w:val="32"/>
          <w:highlight w:val="none"/>
        </w:rPr>
        <w:t>违法行为的</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（三）违法行为轻微并及时改正，</w:t>
      </w:r>
      <w:r>
        <w:rPr>
          <w:rFonts w:hint="eastAsia" w:ascii="方正仿宋_GBK" w:hAnsi="方正仿宋_GBK" w:eastAsia="方正仿宋_GBK" w:cs="方正仿宋_GBK"/>
          <w:color w:val="auto"/>
          <w:sz w:val="32"/>
          <w:szCs w:val="32"/>
          <w:highlight w:val="none"/>
          <w:lang w:val="en-US"/>
        </w:rPr>
        <w:t>未</w:t>
      </w:r>
      <w:r>
        <w:rPr>
          <w:rFonts w:hint="eastAsia" w:ascii="方正仿宋_GBK" w:hAnsi="方正仿宋_GBK" w:eastAsia="方正仿宋_GBK" w:cs="方正仿宋_GBK"/>
          <w:color w:val="auto"/>
          <w:sz w:val="32"/>
          <w:szCs w:val="32"/>
          <w:highlight w:val="none"/>
        </w:rPr>
        <w:t>造成危害后果的；</w:t>
      </w:r>
    </w:p>
    <w:p>
      <w:pPr>
        <w:pStyle w:val="2"/>
        <w:rPr>
          <w:rFonts w:hint="eastAsia" w:ascii="方正黑体_GBK" w:hAnsi="方正黑体_GBK" w:eastAsia="方正黑体_GBK" w:cs="方正黑体_GBK"/>
          <w:color w:val="auto"/>
          <w:lang w:eastAsia="zh-CN"/>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eastAsia="zh-CN"/>
        </w:rPr>
        <w:t>（四）初次违法造成医疗保障基金损失或者初次违法骗取医疗保障基金，且危害后果轻微并及时改正的；</w:t>
      </w:r>
      <w:r>
        <w:rPr>
          <w:rFonts w:hint="eastAsia" w:ascii="方正黑体_GBK" w:hAnsi="方正黑体_GBK" w:eastAsia="方正黑体_GBK" w:cs="方正黑体_GBK"/>
          <w:color w:val="auto"/>
          <w:sz w:val="32"/>
          <w:szCs w:val="32"/>
          <w:highlight w:val="none"/>
          <w:lang w:eastAsia="zh-CN"/>
        </w:rPr>
        <w:t>（此款根据新修订的《行政处罚法》增补）</w:t>
      </w:r>
    </w:p>
    <w:p>
      <w:pPr>
        <w:spacing w:line="58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五</w:t>
      </w:r>
      <w:r>
        <w:rPr>
          <w:rFonts w:hint="eastAsia" w:ascii="方正仿宋_GBK" w:hAnsi="方正仿宋_GBK" w:eastAsia="方正仿宋_GBK" w:cs="方正仿宋_GBK"/>
          <w:color w:val="auto"/>
          <w:sz w:val="32"/>
          <w:szCs w:val="32"/>
          <w:highlight w:val="none"/>
        </w:rPr>
        <w:t>）当事人有证据足以证明没有主观过错的</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法律、行政法规另有规定的，从其规定</w:t>
      </w:r>
      <w:r>
        <w:rPr>
          <w:rFonts w:hint="eastAsia" w:ascii="方正仿宋_GBK" w:hAnsi="方正仿宋_GBK" w:eastAsia="方正仿宋_GBK" w:cs="方正仿宋_GBK"/>
          <w:color w:val="auto"/>
          <w:sz w:val="32"/>
          <w:szCs w:val="32"/>
          <w:highlight w:val="none"/>
          <w:lang w:eastAsia="zh-CN"/>
        </w:rPr>
        <w:t>。</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六</w:t>
      </w:r>
      <w:r>
        <w:rPr>
          <w:rFonts w:hint="eastAsia" w:ascii="方正仿宋_GBK" w:hAnsi="方正仿宋_GBK" w:eastAsia="方正仿宋_GBK" w:cs="方正仿宋_GBK"/>
          <w:color w:val="auto"/>
          <w:sz w:val="32"/>
          <w:szCs w:val="32"/>
          <w:highlight w:val="none"/>
        </w:rPr>
        <w:t>）除法律另有规定外，违法行为在二年内未被发现的，不再给予行政处罚；涉及公民生命健康安全、金融安全且有危害后果的，上述期限延长至五年。前</w:t>
      </w:r>
      <w:r>
        <w:rPr>
          <w:rFonts w:hint="eastAsia" w:ascii="方正仿宋_GBK" w:hAnsi="方正仿宋_GBK" w:eastAsia="方正仿宋_GBK" w:cs="方正仿宋_GBK"/>
          <w:color w:val="auto"/>
          <w:sz w:val="32"/>
          <w:szCs w:val="32"/>
          <w:highlight w:val="none"/>
          <w:lang w:val="en-US"/>
        </w:rPr>
        <w:t>述</w:t>
      </w:r>
      <w:r>
        <w:rPr>
          <w:rFonts w:hint="eastAsia" w:ascii="方正仿宋_GBK" w:hAnsi="方正仿宋_GBK" w:eastAsia="方正仿宋_GBK" w:cs="方正仿宋_GBK"/>
          <w:color w:val="auto"/>
          <w:sz w:val="32"/>
          <w:szCs w:val="32"/>
          <w:highlight w:val="none"/>
        </w:rPr>
        <w:t>规定的期限，从违法行为发生之日起计算</w:t>
      </w:r>
      <w:r>
        <w:rPr>
          <w:rFonts w:hint="eastAsia" w:ascii="方正仿宋_GBK" w:hAnsi="方正仿宋_GBK" w:eastAsia="方正仿宋_GBK" w:cs="方正仿宋_GBK"/>
          <w:color w:val="auto"/>
          <w:sz w:val="32"/>
          <w:szCs w:val="32"/>
          <w:highlight w:val="none"/>
          <w:lang w:val="en-US"/>
        </w:rPr>
        <w:t>；</w:t>
      </w:r>
      <w:r>
        <w:rPr>
          <w:rFonts w:hint="eastAsia" w:ascii="方正仿宋_GBK" w:hAnsi="方正仿宋_GBK" w:eastAsia="方正仿宋_GBK" w:cs="方正仿宋_GBK"/>
          <w:color w:val="auto"/>
          <w:sz w:val="32"/>
          <w:szCs w:val="32"/>
          <w:highlight w:val="none"/>
        </w:rPr>
        <w:t>违法行为有连续或</w:t>
      </w:r>
      <w:r>
        <w:rPr>
          <w:rFonts w:hint="eastAsia" w:ascii="方正仿宋_GBK" w:hAnsi="方正仿宋_GBK" w:eastAsia="方正仿宋_GBK" w:cs="方正仿宋_GBK"/>
          <w:color w:val="auto"/>
          <w:sz w:val="32"/>
          <w:szCs w:val="32"/>
          <w:highlight w:val="none"/>
          <w:lang w:val="en-US"/>
        </w:rPr>
        <w:t>者</w:t>
      </w:r>
      <w:r>
        <w:rPr>
          <w:rFonts w:hint="eastAsia" w:ascii="方正仿宋_GBK" w:hAnsi="方正仿宋_GBK" w:eastAsia="方正仿宋_GBK" w:cs="方正仿宋_GBK"/>
          <w:color w:val="auto"/>
          <w:sz w:val="32"/>
          <w:szCs w:val="32"/>
          <w:highlight w:val="none"/>
        </w:rPr>
        <w:t>继续状态的，从行为终了之日起计算。 </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七</w:t>
      </w:r>
      <w:r>
        <w:rPr>
          <w:rFonts w:hint="eastAsia" w:ascii="方正仿宋_GBK" w:hAnsi="方正仿宋_GBK" w:eastAsia="方正仿宋_GBK" w:cs="方正仿宋_GBK"/>
          <w:color w:val="auto"/>
          <w:sz w:val="32"/>
          <w:szCs w:val="32"/>
          <w:highlight w:val="none"/>
        </w:rPr>
        <w:t>）其他依法不予处罚的情形。 </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上述第（一）（二）（</w:t>
      </w:r>
      <w:r>
        <w:rPr>
          <w:rFonts w:hint="eastAsia" w:ascii="方正仿宋_GBK" w:hAnsi="方正仿宋_GBK" w:eastAsia="方正仿宋_GBK" w:cs="方正仿宋_GBK"/>
          <w:color w:val="auto"/>
          <w:sz w:val="32"/>
          <w:szCs w:val="32"/>
          <w:highlight w:val="none"/>
          <w:lang w:eastAsia="zh-CN"/>
        </w:rPr>
        <w:t>四</w:t>
      </w:r>
      <w:r>
        <w:rPr>
          <w:rFonts w:hint="eastAsia" w:ascii="方正仿宋_GBK" w:hAnsi="方正仿宋_GBK" w:eastAsia="方正仿宋_GBK" w:cs="方正仿宋_GBK"/>
          <w:color w:val="auto"/>
          <w:sz w:val="32"/>
          <w:szCs w:val="32"/>
          <w:highlight w:val="none"/>
        </w:rPr>
        <w:t>）（五）</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六</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项，虽不再给予行政处罚，但应当追回医疗保障基金。</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对当事人的违法行为依法不予行政处罚的，医疗保障行政部门应当对当事人进行教育。</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w:t>
      </w:r>
      <w:r>
        <w:rPr>
          <w:rFonts w:hint="eastAsia" w:ascii="方正黑体_GBK" w:hAnsi="方正黑体_GBK" w:eastAsia="方正黑体_GBK" w:cs="方正黑体_GBK"/>
          <w:color w:val="auto"/>
          <w:sz w:val="32"/>
          <w:szCs w:val="32"/>
          <w:highlight w:val="none"/>
          <w:lang w:val="en-US"/>
        </w:rPr>
        <w:t>七</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rPr>
        <w:t xml:space="preserve"> 当事人有下列情形之一的，应当从轻或者减轻行政处罚：</w:t>
      </w:r>
    </w:p>
    <w:p>
      <w:pPr>
        <w:numPr>
          <w:ilvl w:val="0"/>
          <w:numId w:val="1"/>
        </w:num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行为人实施违法行为时已满十四周岁不满十八周岁的；</w:t>
      </w:r>
    </w:p>
    <w:p>
      <w:pPr>
        <w:numPr>
          <w:ilvl w:val="0"/>
          <w:numId w:val="1"/>
        </w:num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rPr>
        <w:t>行为人在</w:t>
      </w:r>
      <w:r>
        <w:rPr>
          <w:rFonts w:hint="eastAsia" w:ascii="方正仿宋_GBK" w:hAnsi="方正仿宋_GBK" w:eastAsia="方正仿宋_GBK" w:cs="方正仿宋_GBK"/>
          <w:color w:val="auto"/>
          <w:sz w:val="32"/>
          <w:szCs w:val="32"/>
          <w:highlight w:val="none"/>
        </w:rPr>
        <w:t>医疗保障行政部门</w:t>
      </w:r>
      <w:r>
        <w:rPr>
          <w:rFonts w:hint="eastAsia" w:ascii="方正仿宋_GBK" w:hAnsi="方正仿宋_GBK" w:eastAsia="方正仿宋_GBK" w:cs="方正仿宋_GBK"/>
          <w:color w:val="auto"/>
          <w:sz w:val="32"/>
          <w:szCs w:val="32"/>
          <w:highlight w:val="none"/>
          <w:lang w:val="en-US"/>
        </w:rPr>
        <w:t>启动调查程序前，主动承认违法行为，主动退回医疗保障基金的或者有其他</w:t>
      </w:r>
      <w:r>
        <w:rPr>
          <w:rFonts w:hint="eastAsia" w:ascii="方正仿宋_GBK" w:hAnsi="方正仿宋_GBK" w:eastAsia="方正仿宋_GBK" w:cs="方正仿宋_GBK"/>
          <w:color w:val="auto"/>
          <w:sz w:val="32"/>
          <w:szCs w:val="32"/>
          <w:highlight w:val="none"/>
        </w:rPr>
        <w:t>主动消除、减轻违法行为危害后果的；</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w:t>
      </w:r>
      <w:r>
        <w:rPr>
          <w:rFonts w:hint="eastAsia" w:ascii="方正仿宋_GBK" w:hAnsi="方正仿宋_GBK" w:eastAsia="方正仿宋_GBK" w:cs="方正仿宋_GBK"/>
          <w:color w:val="auto"/>
          <w:sz w:val="32"/>
          <w:szCs w:val="32"/>
          <w:highlight w:val="none"/>
          <w:lang w:val="en-US"/>
        </w:rPr>
        <w:t>有证据证明</w:t>
      </w:r>
      <w:r>
        <w:rPr>
          <w:rFonts w:hint="eastAsia" w:ascii="方正仿宋_GBK" w:hAnsi="方正仿宋_GBK" w:eastAsia="方正仿宋_GBK" w:cs="方正仿宋_GBK"/>
          <w:color w:val="auto"/>
          <w:sz w:val="32"/>
          <w:szCs w:val="32"/>
          <w:highlight w:val="none"/>
        </w:rPr>
        <w:t>受他人胁迫</w:t>
      </w:r>
      <w:r>
        <w:rPr>
          <w:rFonts w:hint="eastAsia" w:ascii="方正仿宋_GBK" w:hAnsi="方正仿宋_GBK" w:eastAsia="方正仿宋_GBK" w:cs="方正仿宋_GBK"/>
          <w:color w:val="auto"/>
          <w:sz w:val="32"/>
          <w:szCs w:val="32"/>
          <w:highlight w:val="none"/>
          <w:lang w:val="en-US"/>
        </w:rPr>
        <w:t>或者诱骗</w:t>
      </w:r>
      <w:r>
        <w:rPr>
          <w:rFonts w:hint="eastAsia" w:ascii="方正仿宋_GBK" w:hAnsi="方正仿宋_GBK" w:eastAsia="方正仿宋_GBK" w:cs="方正仿宋_GBK"/>
          <w:color w:val="auto"/>
          <w:sz w:val="32"/>
          <w:szCs w:val="32"/>
          <w:highlight w:val="none"/>
        </w:rPr>
        <w:t>实施违法行为的；</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rPr>
        <w:t>（四）主动供述医疗保障行政部门尚未掌握的</w:t>
      </w:r>
      <w:r>
        <w:rPr>
          <w:rFonts w:hint="eastAsia" w:ascii="方正仿宋_GBK" w:hAnsi="方正仿宋_GBK" w:eastAsia="方正仿宋_GBK" w:cs="方正仿宋_GBK"/>
          <w:color w:val="auto"/>
          <w:sz w:val="32"/>
          <w:szCs w:val="32"/>
          <w:highlight w:val="none"/>
          <w:lang w:val="en-US"/>
        </w:rPr>
        <w:t>基金使用</w:t>
      </w:r>
      <w:r>
        <w:rPr>
          <w:rFonts w:hint="eastAsia" w:ascii="方正仿宋_GBK" w:hAnsi="方正仿宋_GBK" w:eastAsia="方正仿宋_GBK" w:cs="方正仿宋_GBK"/>
          <w:color w:val="auto"/>
          <w:sz w:val="32"/>
          <w:szCs w:val="32"/>
          <w:highlight w:val="none"/>
        </w:rPr>
        <w:t>违法行为</w:t>
      </w:r>
      <w:r>
        <w:rPr>
          <w:rFonts w:hint="eastAsia" w:ascii="方正仿宋_GBK" w:hAnsi="方正仿宋_GBK" w:eastAsia="方正仿宋_GBK" w:cs="方正仿宋_GBK"/>
          <w:color w:val="auto"/>
          <w:sz w:val="32"/>
          <w:szCs w:val="32"/>
          <w:highlight w:val="none"/>
          <w:lang w:val="en-US"/>
        </w:rPr>
        <w:t>的关键线索或者证据，并经查证属实的；</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（五）积极</w:t>
      </w:r>
      <w:r>
        <w:rPr>
          <w:rFonts w:hint="eastAsia" w:ascii="方正仿宋_GBK" w:hAnsi="方正仿宋_GBK" w:eastAsia="方正仿宋_GBK" w:cs="方正仿宋_GBK"/>
          <w:color w:val="auto"/>
          <w:sz w:val="32"/>
          <w:szCs w:val="32"/>
          <w:highlight w:val="none"/>
        </w:rPr>
        <w:t>配合医疗保障行政部门查处违法行为，</w:t>
      </w:r>
      <w:r>
        <w:rPr>
          <w:rFonts w:hint="eastAsia" w:ascii="方正仿宋_GBK" w:hAnsi="方正仿宋_GBK" w:eastAsia="方正仿宋_GBK" w:cs="方正仿宋_GBK"/>
          <w:color w:val="auto"/>
          <w:sz w:val="32"/>
          <w:szCs w:val="32"/>
          <w:highlight w:val="none"/>
          <w:lang w:val="en-US"/>
        </w:rPr>
        <w:t>如实陈述违法事实并主动提供违法材料的；</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rPr>
        <w:t>六</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rPr>
        <w:t>主动投案向</w:t>
      </w:r>
      <w:r>
        <w:rPr>
          <w:rFonts w:hint="eastAsia" w:ascii="方正仿宋_GBK" w:hAnsi="方正仿宋_GBK" w:eastAsia="方正仿宋_GBK" w:cs="方正仿宋_GBK"/>
          <w:color w:val="auto"/>
          <w:sz w:val="32"/>
          <w:szCs w:val="32"/>
          <w:highlight w:val="none"/>
        </w:rPr>
        <w:t>医疗保障行政部门</w:t>
      </w:r>
      <w:r>
        <w:rPr>
          <w:rFonts w:hint="eastAsia" w:ascii="方正仿宋_GBK" w:hAnsi="方正仿宋_GBK" w:eastAsia="方正仿宋_GBK" w:cs="方正仿宋_GBK"/>
          <w:color w:val="auto"/>
          <w:sz w:val="32"/>
          <w:szCs w:val="32"/>
          <w:highlight w:val="none"/>
          <w:lang w:val="en-US"/>
        </w:rPr>
        <w:t>如实交代违法行为的</w:t>
      </w:r>
      <w:r>
        <w:rPr>
          <w:rFonts w:hint="eastAsia" w:ascii="方正仿宋_GBK" w:hAnsi="方正仿宋_GBK" w:eastAsia="方正仿宋_GBK" w:cs="方正仿宋_GBK"/>
          <w:color w:val="auto"/>
          <w:sz w:val="32"/>
          <w:szCs w:val="32"/>
          <w:highlight w:val="none"/>
        </w:rPr>
        <w:t>；</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rPr>
        <w:t>七</w:t>
      </w:r>
      <w:r>
        <w:rPr>
          <w:rFonts w:hint="eastAsia" w:ascii="方正仿宋_GBK" w:hAnsi="方正仿宋_GBK" w:eastAsia="方正仿宋_GBK" w:cs="方正仿宋_GBK"/>
          <w:color w:val="auto"/>
          <w:sz w:val="32"/>
          <w:szCs w:val="32"/>
          <w:highlight w:val="none"/>
        </w:rPr>
        <w:t>）其他依法应当从轻或者减轻行政处罚的。</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w:t>
      </w:r>
      <w:r>
        <w:rPr>
          <w:rFonts w:hint="eastAsia" w:ascii="方正黑体_GBK" w:hAnsi="方正黑体_GBK" w:eastAsia="方正黑体_GBK" w:cs="方正黑体_GBK"/>
          <w:color w:val="auto"/>
          <w:sz w:val="32"/>
          <w:szCs w:val="32"/>
          <w:highlight w:val="none"/>
          <w:lang w:val="en-US"/>
        </w:rPr>
        <w:t>八</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rPr>
        <w:t xml:space="preserve"> 当事人有下列情形之一，可以从轻行政处罚：</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（一）尚未完全丧失辨认或者控制自己行为能力的精神病人、智力残疾人有违法行为的；</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Hans"/>
        </w:rPr>
        <w:t>二</w:t>
      </w:r>
      <w:r>
        <w:rPr>
          <w:rFonts w:hint="eastAsia" w:ascii="方正仿宋_GBK" w:hAnsi="方正仿宋_GBK" w:eastAsia="方正仿宋_GBK" w:cs="方正仿宋_GBK"/>
          <w:color w:val="auto"/>
          <w:sz w:val="32"/>
          <w:szCs w:val="32"/>
          <w:highlight w:val="none"/>
        </w:rPr>
        <w:t>）当事人因残疾或者重大疾病等原因生活确有困难的；</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Hans"/>
        </w:rPr>
        <w:t>三</w:t>
      </w:r>
      <w:r>
        <w:rPr>
          <w:rFonts w:hint="eastAsia" w:ascii="方正仿宋_GBK" w:hAnsi="方正仿宋_GBK" w:eastAsia="方正仿宋_GBK" w:cs="方正仿宋_GBK"/>
          <w:color w:val="auto"/>
          <w:sz w:val="32"/>
          <w:szCs w:val="32"/>
          <w:highlight w:val="none"/>
        </w:rPr>
        <w:t>）受他人教唆实施违法行为的；</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Hans"/>
        </w:rPr>
        <w:t>四</w:t>
      </w:r>
      <w:r>
        <w:rPr>
          <w:rFonts w:hint="eastAsia" w:ascii="方正仿宋_GBK" w:hAnsi="方正仿宋_GBK" w:eastAsia="方正仿宋_GBK" w:cs="方正仿宋_GBK"/>
          <w:color w:val="auto"/>
          <w:sz w:val="32"/>
          <w:szCs w:val="32"/>
          <w:highlight w:val="none"/>
        </w:rPr>
        <w:t>）在共同违法行为中起次要作用或者辅助作用的；</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rPr>
        <w:t>五</w:t>
      </w:r>
      <w:r>
        <w:rPr>
          <w:rFonts w:hint="eastAsia" w:ascii="方正仿宋_GBK" w:hAnsi="方正仿宋_GBK" w:eastAsia="方正仿宋_GBK" w:cs="方正仿宋_GBK"/>
          <w:color w:val="auto"/>
          <w:sz w:val="32"/>
          <w:szCs w:val="32"/>
          <w:highlight w:val="none"/>
        </w:rPr>
        <w:t>）初次违法且危害后果轻微并及时改正的；</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rPr>
        <w:t>六</w:t>
      </w:r>
      <w:r>
        <w:rPr>
          <w:rFonts w:hint="eastAsia" w:ascii="方正仿宋_GBK" w:hAnsi="方正仿宋_GBK" w:eastAsia="方正仿宋_GBK" w:cs="方正仿宋_GBK"/>
          <w:color w:val="auto"/>
          <w:sz w:val="32"/>
          <w:szCs w:val="32"/>
          <w:highlight w:val="none"/>
        </w:rPr>
        <w:t>）其他依法可以从轻行政处罚的。</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黑体_GBK" w:hAnsi="方正黑体_GBK" w:eastAsia="方正黑体_GBK" w:cs="方正黑体_GBK"/>
          <w:color w:val="auto"/>
          <w:sz w:val="32"/>
          <w:szCs w:val="32"/>
          <w:highlight w:val="none"/>
          <w:lang w:val="en-GB"/>
        </w:rPr>
        <w:t>第九条</w:t>
      </w:r>
      <w:r>
        <w:rPr>
          <w:rFonts w:hint="eastAsia" w:ascii="方正仿宋_GBK" w:hAnsi="方正仿宋_GBK" w:eastAsia="方正仿宋_GBK" w:cs="方正仿宋_GBK"/>
          <w:b/>
          <w:bCs/>
          <w:color w:val="auto"/>
          <w:sz w:val="32"/>
          <w:szCs w:val="32"/>
          <w:highlight w:val="none"/>
          <w:lang w:val="en-GB"/>
        </w:rPr>
        <w:t xml:space="preserve"> </w:t>
      </w:r>
      <w:r>
        <w:rPr>
          <w:rFonts w:hint="eastAsia" w:ascii="方正仿宋_GBK" w:hAnsi="方正仿宋_GBK" w:eastAsia="方正仿宋_GBK" w:cs="方正仿宋_GBK"/>
          <w:color w:val="auto"/>
          <w:sz w:val="32"/>
          <w:szCs w:val="32"/>
          <w:highlight w:val="none"/>
          <w:lang w:val="en-US"/>
        </w:rPr>
        <w:t>当事人符合本基准规则第七条规定的应当减轻处罚情形的，依法在法定行政处罚的最低限度以下作出处罚，</w:t>
      </w:r>
      <w:r>
        <w:rPr>
          <w:rFonts w:hint="eastAsia" w:ascii="方正仿宋_GBK" w:hAnsi="方正仿宋_GBK" w:eastAsia="方正仿宋_GBK" w:cs="方正仿宋_GBK"/>
          <w:color w:val="auto"/>
          <w:sz w:val="32"/>
          <w:szCs w:val="32"/>
          <w:highlight w:val="none"/>
          <w:lang w:val="en-US" w:eastAsia="zh-Hans"/>
        </w:rPr>
        <w:t>并</w:t>
      </w:r>
      <w:r>
        <w:rPr>
          <w:rFonts w:hint="eastAsia" w:ascii="方正仿宋_GBK" w:hAnsi="方正仿宋_GBK" w:eastAsia="方正仿宋_GBK" w:cs="方正仿宋_GBK"/>
          <w:color w:val="auto"/>
          <w:sz w:val="32"/>
          <w:szCs w:val="32"/>
          <w:highlight w:val="none"/>
          <w:lang w:val="en-US"/>
        </w:rPr>
        <w:t>可以减少法定处罚种类。</w:t>
      </w:r>
    </w:p>
    <w:p>
      <w:pPr>
        <w:spacing w:line="580" w:lineRule="exact"/>
        <w:ind w:firstLine="640" w:firstLineChars="200"/>
        <w:rPr>
          <w:rFonts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当事人符合本基准规则第八条规定的两种或</w:t>
      </w:r>
      <w:r>
        <w:rPr>
          <w:rFonts w:hint="eastAsia" w:ascii="方正仿宋_GBK" w:hAnsi="方正仿宋_GBK" w:eastAsia="方正仿宋_GBK" w:cs="方正仿宋_GBK"/>
          <w:color w:val="auto"/>
          <w:sz w:val="32"/>
          <w:szCs w:val="32"/>
          <w:highlight w:val="none"/>
        </w:rPr>
        <w:t>者</w:t>
      </w:r>
      <w:r>
        <w:rPr>
          <w:rFonts w:hint="eastAsia" w:ascii="方正仿宋_GBK" w:hAnsi="方正仿宋_GBK" w:eastAsia="方正仿宋_GBK" w:cs="方正仿宋_GBK"/>
          <w:color w:val="auto"/>
          <w:sz w:val="32"/>
          <w:szCs w:val="32"/>
          <w:highlight w:val="none"/>
          <w:lang w:val="en-US"/>
        </w:rPr>
        <w:t>两种以上从轻处罚情形且不具有从重处罚情形的，应当从轻处罚。</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第十条</w:t>
      </w:r>
      <w:r>
        <w:rPr>
          <w:rFonts w:hint="eastAsia" w:ascii="方正仿宋_GBK" w:hAnsi="方正仿宋_GBK" w:eastAsia="方正仿宋_GBK" w:cs="方正仿宋_GBK"/>
          <w:color w:val="auto"/>
          <w:sz w:val="32"/>
          <w:szCs w:val="32"/>
          <w:highlight w:val="none"/>
        </w:rPr>
        <w:t xml:space="preserve"> 当事人有下列情形之一的，</w:t>
      </w:r>
      <w:r>
        <w:rPr>
          <w:rFonts w:hint="eastAsia" w:ascii="方正仿宋_GBK" w:hAnsi="方正仿宋_GBK" w:eastAsia="方正仿宋_GBK" w:cs="方正仿宋_GBK"/>
          <w:color w:val="auto"/>
          <w:sz w:val="32"/>
          <w:szCs w:val="32"/>
          <w:highlight w:val="none"/>
          <w:lang w:val="en-US"/>
        </w:rPr>
        <w:t>应当</w:t>
      </w:r>
      <w:r>
        <w:rPr>
          <w:rFonts w:hint="eastAsia" w:ascii="方正仿宋_GBK" w:hAnsi="方正仿宋_GBK" w:eastAsia="方正仿宋_GBK" w:cs="方正仿宋_GBK"/>
          <w:color w:val="auto"/>
          <w:sz w:val="32"/>
          <w:szCs w:val="32"/>
          <w:highlight w:val="none"/>
        </w:rPr>
        <w:t>从重行政处罚：</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（一）违法行为性质恶劣，造成严重危害后果的；</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（二）在发生自然灾害、事故灾难、公共卫生或者社会安全等突发事件期间，借机实施违法行为的；</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w:t>
      </w:r>
      <w:r>
        <w:rPr>
          <w:rFonts w:hint="eastAsia" w:ascii="方正仿宋_GBK" w:hAnsi="方正仿宋_GBK" w:eastAsia="方正仿宋_GBK" w:cs="方正仿宋_GBK"/>
          <w:color w:val="auto"/>
          <w:sz w:val="32"/>
          <w:szCs w:val="32"/>
          <w:highlight w:val="none"/>
          <w:lang w:eastAsia="zh-CN"/>
        </w:rPr>
        <w:t>共同违法行为中</w:t>
      </w:r>
      <w:r>
        <w:rPr>
          <w:rFonts w:hint="eastAsia" w:ascii="方正仿宋_GBK" w:hAnsi="方正仿宋_GBK" w:eastAsia="方正仿宋_GBK" w:cs="方正仿宋_GBK"/>
          <w:color w:val="auto"/>
          <w:sz w:val="32"/>
          <w:szCs w:val="32"/>
          <w:highlight w:val="none"/>
        </w:rPr>
        <w:t>教唆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胁迫、诱骗他人实施违法行为的；</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rPr>
        <w:t>四</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rPr>
        <w:t>责令改正拒不改正的；</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rPr>
        <w:t>（五）一年内实施两次以上同一性质违法行为的</w:t>
      </w:r>
      <w:r>
        <w:rPr>
          <w:rFonts w:hint="eastAsia" w:ascii="方正仿宋_GBK" w:hAnsi="方正仿宋_GBK" w:eastAsia="方正仿宋_GBK" w:cs="方正仿宋_GBK"/>
          <w:color w:val="auto"/>
          <w:sz w:val="32"/>
          <w:szCs w:val="32"/>
          <w:highlight w:val="none"/>
          <w:lang w:val="en-US" w:eastAsia="zh-CN"/>
        </w:rPr>
        <w:t>；</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（六）</w:t>
      </w:r>
      <w:r>
        <w:rPr>
          <w:rFonts w:hint="eastAsia" w:ascii="方正仿宋_GBK" w:hAnsi="方正仿宋_GBK" w:eastAsia="方正仿宋_GBK" w:cs="方正仿宋_GBK"/>
          <w:color w:val="auto"/>
          <w:sz w:val="32"/>
          <w:szCs w:val="32"/>
          <w:highlight w:val="none"/>
        </w:rPr>
        <w:t>因同一性质的违法行为受过刑事处罚</w:t>
      </w:r>
      <w:r>
        <w:rPr>
          <w:rFonts w:hint="eastAsia" w:ascii="方正仿宋_GBK" w:hAnsi="方正仿宋_GBK" w:eastAsia="方正仿宋_GBK" w:cs="方正仿宋_GBK"/>
          <w:color w:val="auto"/>
          <w:sz w:val="32"/>
          <w:szCs w:val="32"/>
          <w:highlight w:val="none"/>
          <w:lang w:val="en-US"/>
        </w:rPr>
        <w:t>或</w:t>
      </w:r>
      <w:r>
        <w:rPr>
          <w:rFonts w:hint="eastAsia" w:ascii="方正仿宋_GBK" w:hAnsi="方正仿宋_GBK" w:eastAsia="方正仿宋_GBK" w:cs="方正仿宋_GBK"/>
          <w:color w:val="auto"/>
          <w:sz w:val="32"/>
          <w:szCs w:val="32"/>
          <w:highlight w:val="none"/>
        </w:rPr>
        <w:t>者</w:t>
      </w:r>
      <w:r>
        <w:rPr>
          <w:rFonts w:hint="eastAsia" w:ascii="方正仿宋_GBK" w:hAnsi="方正仿宋_GBK" w:eastAsia="方正仿宋_GBK" w:cs="方正仿宋_GBK"/>
          <w:color w:val="auto"/>
          <w:sz w:val="32"/>
          <w:szCs w:val="32"/>
          <w:highlight w:val="none"/>
          <w:lang w:val="en-US"/>
        </w:rPr>
        <w:t>行政处罚的</w:t>
      </w:r>
      <w:r>
        <w:rPr>
          <w:rFonts w:hint="eastAsia" w:ascii="方正仿宋_GBK" w:hAnsi="方正仿宋_GBK" w:eastAsia="方正仿宋_GBK" w:cs="方正仿宋_GBK"/>
          <w:color w:val="auto"/>
          <w:sz w:val="32"/>
          <w:szCs w:val="32"/>
          <w:highlight w:val="none"/>
        </w:rPr>
        <w:t>；</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七</w:t>
      </w:r>
      <w:r>
        <w:rPr>
          <w:rFonts w:hint="eastAsia" w:ascii="方正仿宋_GBK" w:hAnsi="方正仿宋_GBK" w:eastAsia="方正仿宋_GBK" w:cs="方正仿宋_GBK"/>
          <w:color w:val="auto"/>
          <w:sz w:val="32"/>
          <w:szCs w:val="32"/>
          <w:highlight w:val="none"/>
        </w:rPr>
        <w:t>）阻碍</w:t>
      </w:r>
      <w:r>
        <w:rPr>
          <w:rFonts w:hint="eastAsia" w:ascii="方正仿宋_GBK" w:hAnsi="方正仿宋_GBK" w:eastAsia="方正仿宋_GBK" w:cs="方正仿宋_GBK"/>
          <w:color w:val="auto"/>
          <w:sz w:val="32"/>
          <w:szCs w:val="32"/>
          <w:highlight w:val="none"/>
          <w:lang w:eastAsia="zh-CN"/>
        </w:rPr>
        <w:t>、逃避、</w:t>
      </w:r>
      <w:r>
        <w:rPr>
          <w:rFonts w:hint="eastAsia" w:ascii="方正仿宋_GBK" w:hAnsi="方正仿宋_GBK" w:eastAsia="方正仿宋_GBK" w:cs="方正仿宋_GBK"/>
          <w:color w:val="auto"/>
          <w:sz w:val="32"/>
          <w:szCs w:val="32"/>
          <w:highlight w:val="none"/>
        </w:rPr>
        <w:t>拒不配合行政执法人员依法执行职务</w:t>
      </w:r>
      <w:r>
        <w:rPr>
          <w:rFonts w:hint="eastAsia" w:ascii="方正仿宋_GBK" w:hAnsi="方正仿宋_GBK" w:eastAsia="方正仿宋_GBK" w:cs="方正仿宋_GBK"/>
          <w:color w:val="auto"/>
          <w:sz w:val="32"/>
          <w:szCs w:val="32"/>
          <w:highlight w:val="none"/>
          <w:lang w:eastAsia="zh-CN"/>
        </w:rPr>
        <w:t>的，</w:t>
      </w:r>
      <w:r>
        <w:rPr>
          <w:rFonts w:hint="eastAsia" w:ascii="方正仿宋_GBK" w:hAnsi="方正仿宋_GBK" w:eastAsia="方正仿宋_GBK" w:cs="方正仿宋_GBK"/>
          <w:color w:val="auto"/>
          <w:sz w:val="32"/>
          <w:szCs w:val="32"/>
          <w:highlight w:val="none"/>
        </w:rPr>
        <w:t>或者对行政执法人员打击报复的；</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八</w:t>
      </w:r>
      <w:r>
        <w:rPr>
          <w:rFonts w:hint="eastAsia" w:ascii="方正仿宋_GBK" w:hAnsi="方正仿宋_GBK" w:eastAsia="方正仿宋_GBK" w:cs="方正仿宋_GBK"/>
          <w:color w:val="auto"/>
          <w:sz w:val="32"/>
          <w:szCs w:val="32"/>
          <w:highlight w:val="none"/>
        </w:rPr>
        <w:t>）故意隐藏、转移、变卖、损毁医疗保障行政部门依法查封、扣押的财物（包括损毁查封标志）或者先行登记保存的证据的，医疗保障行政部门已依法对上述行为进行处罚的除外；</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九</w:t>
      </w:r>
      <w:r>
        <w:rPr>
          <w:rFonts w:hint="eastAsia" w:ascii="方正仿宋_GBK" w:hAnsi="方正仿宋_GBK" w:eastAsia="方正仿宋_GBK" w:cs="方正仿宋_GBK"/>
          <w:color w:val="auto"/>
          <w:sz w:val="32"/>
          <w:szCs w:val="32"/>
          <w:highlight w:val="none"/>
        </w:rPr>
        <w:t>）故意转移、隐匿、毁坏</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伪造证据，或者对投诉举报人、证人打击报复的；</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十</w:t>
      </w:r>
      <w:r>
        <w:rPr>
          <w:rFonts w:hint="eastAsia" w:ascii="方正仿宋_GBK" w:hAnsi="方正仿宋_GBK" w:eastAsia="方正仿宋_GBK" w:cs="方正仿宋_GBK"/>
          <w:color w:val="auto"/>
          <w:sz w:val="32"/>
          <w:szCs w:val="32"/>
          <w:highlight w:val="none"/>
        </w:rPr>
        <w:t>）其他依法</w:t>
      </w:r>
      <w:r>
        <w:rPr>
          <w:rFonts w:hint="eastAsia" w:ascii="方正仿宋_GBK" w:hAnsi="方正仿宋_GBK" w:eastAsia="方正仿宋_GBK" w:cs="方正仿宋_GBK"/>
          <w:color w:val="auto"/>
          <w:sz w:val="32"/>
          <w:szCs w:val="32"/>
          <w:highlight w:val="none"/>
          <w:lang w:val="en-US"/>
        </w:rPr>
        <w:t>应当</w:t>
      </w:r>
      <w:r>
        <w:rPr>
          <w:rFonts w:hint="eastAsia" w:ascii="方正仿宋_GBK" w:hAnsi="方正仿宋_GBK" w:eastAsia="方正仿宋_GBK" w:cs="方正仿宋_GBK"/>
          <w:color w:val="auto"/>
          <w:sz w:val="32"/>
          <w:szCs w:val="32"/>
          <w:highlight w:val="none"/>
        </w:rPr>
        <w:t>从重行政处罚的。</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第十</w:t>
      </w:r>
      <w:r>
        <w:rPr>
          <w:rFonts w:hint="eastAsia" w:ascii="方正黑体_GBK" w:hAnsi="方正黑体_GBK" w:eastAsia="方正黑体_GBK" w:cs="方正黑体_GBK"/>
          <w:color w:val="auto"/>
          <w:sz w:val="32"/>
          <w:szCs w:val="32"/>
          <w:highlight w:val="none"/>
          <w:lang w:val="en-US"/>
        </w:rPr>
        <w:t>一</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rPr>
        <w:t xml:space="preserve"> 当事人不具备不予处罚、减轻、从轻或者从重行政处罚情形的，属于一般行政处罚情形。</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第十</w:t>
      </w:r>
      <w:r>
        <w:rPr>
          <w:rFonts w:hint="eastAsia" w:ascii="方正黑体_GBK" w:hAnsi="方正黑体_GBK" w:eastAsia="方正黑体_GBK" w:cs="方正黑体_GBK"/>
          <w:color w:val="auto"/>
          <w:sz w:val="32"/>
          <w:szCs w:val="32"/>
          <w:highlight w:val="none"/>
          <w:lang w:val="en-US"/>
        </w:rPr>
        <w:t>二</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rPr>
        <w:t xml:space="preserve"> 当事人既有从轻或者减轻行政处罚情形的，又有从重行政处罚情形的，应当结合案件具体情况综合考量后作出裁量决定。</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违法行为已经造成严重危害后果的，一般不适用减轻或</w:t>
      </w:r>
      <w:r>
        <w:rPr>
          <w:rFonts w:hint="eastAsia" w:ascii="方正仿宋_GBK" w:hAnsi="方正仿宋_GBK" w:eastAsia="方正仿宋_GBK" w:cs="方正仿宋_GBK"/>
          <w:color w:val="auto"/>
          <w:sz w:val="32"/>
          <w:szCs w:val="32"/>
          <w:highlight w:val="none"/>
          <w:lang w:val="en-US"/>
        </w:rPr>
        <w:t>者</w:t>
      </w:r>
      <w:r>
        <w:rPr>
          <w:rFonts w:hint="eastAsia" w:ascii="方正仿宋_GBK" w:hAnsi="方正仿宋_GBK" w:eastAsia="方正仿宋_GBK" w:cs="方正仿宋_GBK"/>
          <w:color w:val="auto"/>
          <w:sz w:val="32"/>
          <w:szCs w:val="32"/>
          <w:highlight w:val="none"/>
        </w:rPr>
        <w:t>从轻行政处罚。</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第十</w:t>
      </w:r>
      <w:r>
        <w:rPr>
          <w:rFonts w:hint="eastAsia" w:ascii="方正黑体_GBK" w:hAnsi="方正黑体_GBK" w:eastAsia="方正黑体_GBK" w:cs="方正黑体_GBK"/>
          <w:color w:val="auto"/>
          <w:sz w:val="32"/>
          <w:szCs w:val="32"/>
          <w:highlight w:val="none"/>
          <w:lang w:val="en-US"/>
        </w:rPr>
        <w:t>三</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b/>
          <w:bCs/>
          <w:color w:val="auto"/>
          <w:sz w:val="32"/>
          <w:szCs w:val="32"/>
          <w:highlight w:val="none"/>
        </w:rPr>
        <w:t xml:space="preserve"> </w:t>
      </w:r>
      <w:r>
        <w:rPr>
          <w:rFonts w:hint="eastAsia" w:ascii="方正仿宋_GBK" w:hAnsi="方正仿宋_GBK" w:eastAsia="方正仿宋_GBK" w:cs="方正仿宋_GBK"/>
          <w:color w:val="auto"/>
          <w:sz w:val="32"/>
          <w:szCs w:val="32"/>
          <w:highlight w:val="none"/>
        </w:rPr>
        <w:t>法律、法规、规章规定的处罚种类可以单处或者可以并处的，可以选择适用；应当单处或者并处的，除符合减轻行政处罚情形外，不得选择适用。</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法律、法规、规章规定</w:t>
      </w:r>
      <w:r>
        <w:rPr>
          <w:rFonts w:hint="eastAsia" w:ascii="方正仿宋_GBK" w:hAnsi="方正仿宋_GBK" w:eastAsia="方正仿宋_GBK" w:cs="方正仿宋_GBK"/>
          <w:color w:val="auto"/>
          <w:sz w:val="32"/>
          <w:szCs w:val="32"/>
          <w:highlight w:val="none"/>
          <w:lang w:val="en-US"/>
        </w:rPr>
        <w:t>应当并处的，</w:t>
      </w:r>
      <w:r>
        <w:rPr>
          <w:rFonts w:hint="eastAsia" w:ascii="方正仿宋_GBK" w:hAnsi="方正仿宋_GBK" w:eastAsia="方正仿宋_GBK" w:cs="方正仿宋_GBK"/>
          <w:color w:val="auto"/>
          <w:sz w:val="32"/>
          <w:szCs w:val="32"/>
          <w:highlight w:val="none"/>
        </w:rPr>
        <w:t>从轻行政处罚不得减少法定处罚种类。</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w:t>
      </w:r>
      <w:r>
        <w:rPr>
          <w:rFonts w:hint="eastAsia" w:ascii="方正黑体_GBK" w:hAnsi="方正黑体_GBK" w:eastAsia="方正黑体_GBK" w:cs="方正黑体_GBK"/>
          <w:color w:val="auto"/>
          <w:sz w:val="32"/>
          <w:szCs w:val="32"/>
          <w:highlight w:val="none"/>
          <w:lang w:val="en-US"/>
        </w:rPr>
        <w:t>十四</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rPr>
        <w:t xml:space="preserve"> 实施行政处罚必须以法律、法规、规章为依据。对同一违法行为实施行政处罚，上位法与下位法有不同规定的，适用上位法；上位法有原则性规定，下位法有具体规定且不违反上位法、不与上位法相抵触的，适用上位法和下位法；同一机关制定的法律规范有不同规定的，遵循新法优于旧法、特别法优于一般法的法律适用原则。</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第十</w:t>
      </w:r>
      <w:r>
        <w:rPr>
          <w:rFonts w:hint="eastAsia" w:ascii="方正黑体_GBK" w:hAnsi="方正黑体_GBK" w:eastAsia="方正黑体_GBK" w:cs="方正黑体_GBK"/>
          <w:color w:val="auto"/>
          <w:sz w:val="32"/>
          <w:szCs w:val="32"/>
          <w:highlight w:val="none"/>
          <w:lang w:val="en-US"/>
        </w:rPr>
        <w:t>五</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z w:val="32"/>
          <w:szCs w:val="32"/>
          <w:highlight w:val="none"/>
        </w:rPr>
        <w:t>实施行政处罚，适用违法行为发生时的法律、法规、规章的规定。但是，作出行政处罚决定时，法律、法规、规章已被修改或者废止，且新的规定处罚较轻或者不认为是违法的，适用新的规定。</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其他合法有效的规范性文件，可以作为对法律规范条文含义的理解以及实施行政处罚裁量的说理依据，但不得单独援引作为实施行政处罚的适用依据。</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黑体_GBK" w:hAnsi="方正黑体_GBK" w:eastAsia="方正黑体_GBK" w:cs="方正黑体_GBK"/>
          <w:color w:val="auto"/>
          <w:sz w:val="32"/>
          <w:szCs w:val="32"/>
          <w:highlight w:val="none"/>
        </w:rPr>
        <w:t>第十</w:t>
      </w:r>
      <w:r>
        <w:rPr>
          <w:rFonts w:hint="eastAsia" w:ascii="方正黑体_GBK" w:hAnsi="方正黑体_GBK" w:eastAsia="方正黑体_GBK" w:cs="方正黑体_GBK"/>
          <w:color w:val="auto"/>
          <w:sz w:val="32"/>
          <w:szCs w:val="32"/>
          <w:highlight w:val="none"/>
          <w:lang w:val="en-US"/>
        </w:rPr>
        <w:t>六</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rPr>
        <w:t xml:space="preserve"> 行政处罚案件中同一当事人有两种以上违法行为，</w:t>
      </w:r>
      <w:r>
        <w:rPr>
          <w:rFonts w:hint="eastAsia" w:ascii="方正仿宋_GBK" w:hAnsi="方正仿宋_GBK" w:eastAsia="方正仿宋_GBK" w:cs="方正仿宋_GBK"/>
          <w:color w:val="auto"/>
          <w:sz w:val="32"/>
          <w:szCs w:val="32"/>
          <w:highlight w:val="none"/>
          <w:lang w:val="en-US"/>
        </w:rPr>
        <w:t>对每种违法行为都</w:t>
      </w:r>
      <w:r>
        <w:rPr>
          <w:rFonts w:hint="eastAsia" w:ascii="方正仿宋_GBK" w:hAnsi="方正仿宋_GBK" w:eastAsia="方正仿宋_GBK" w:cs="方正仿宋_GBK"/>
          <w:color w:val="auto"/>
          <w:sz w:val="32"/>
          <w:szCs w:val="32"/>
          <w:highlight w:val="none"/>
        </w:rPr>
        <w:t>应当</w:t>
      </w:r>
      <w:r>
        <w:rPr>
          <w:rFonts w:hint="eastAsia" w:ascii="方正仿宋_GBK" w:hAnsi="方正仿宋_GBK" w:eastAsia="方正仿宋_GBK" w:cs="方正仿宋_GBK"/>
          <w:color w:val="auto"/>
          <w:sz w:val="32"/>
          <w:szCs w:val="32"/>
          <w:highlight w:val="none"/>
          <w:lang w:val="en-US"/>
        </w:rPr>
        <w:t>分别认定，</w:t>
      </w:r>
      <w:r>
        <w:rPr>
          <w:rFonts w:hint="eastAsia" w:ascii="方正仿宋_GBK" w:hAnsi="方正仿宋_GBK" w:eastAsia="方正仿宋_GBK" w:cs="方正仿宋_GBK"/>
          <w:color w:val="auto"/>
          <w:sz w:val="32"/>
          <w:szCs w:val="32"/>
          <w:highlight w:val="none"/>
        </w:rPr>
        <w:t>分别裁量，合并处罚</w:t>
      </w:r>
      <w:r>
        <w:rPr>
          <w:rFonts w:hint="eastAsia" w:ascii="方正仿宋_GBK" w:hAnsi="方正仿宋_GBK" w:eastAsia="方正仿宋_GBK" w:cs="方正仿宋_GBK"/>
          <w:color w:val="auto"/>
          <w:sz w:val="32"/>
          <w:szCs w:val="32"/>
          <w:highlight w:val="none"/>
          <w:lang w:val="en-US"/>
        </w:rPr>
        <w:t>。</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对当事人的同一个违法行为，不得给予两次以上罚款的行政处罚。同一个违法行为违反多个法律规范应当给予罚款处罚的，按照罚款数额高的规定处罚。</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第十</w:t>
      </w:r>
      <w:r>
        <w:rPr>
          <w:rFonts w:hint="eastAsia" w:ascii="方正黑体_GBK" w:hAnsi="方正黑体_GBK" w:eastAsia="方正黑体_GBK" w:cs="方正黑体_GBK"/>
          <w:color w:val="auto"/>
          <w:sz w:val="32"/>
          <w:szCs w:val="32"/>
          <w:highlight w:val="none"/>
          <w:lang w:val="en-US"/>
        </w:rPr>
        <w:t>七</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rPr>
        <w:t xml:space="preserve"> 对于违法行为性质相同、情节相近、危害后果基本相当、违法主体同类的案件，在</w:t>
      </w:r>
      <w:r>
        <w:rPr>
          <w:rFonts w:hint="eastAsia" w:ascii="方正仿宋_GBK" w:hAnsi="方正仿宋_GBK" w:eastAsia="方正仿宋_GBK" w:cs="方正仿宋_GBK"/>
          <w:color w:val="auto"/>
          <w:sz w:val="32"/>
          <w:szCs w:val="32"/>
          <w:highlight w:val="none"/>
          <w:lang w:val="en-US" w:eastAsia="zh-Hans"/>
        </w:rPr>
        <w:t>行使</w:t>
      </w:r>
      <w:r>
        <w:rPr>
          <w:rFonts w:hint="eastAsia" w:ascii="方正仿宋_GBK" w:hAnsi="方正仿宋_GBK" w:eastAsia="方正仿宋_GBK" w:cs="方正仿宋_GBK"/>
          <w:color w:val="auto"/>
          <w:sz w:val="32"/>
          <w:szCs w:val="32"/>
          <w:highlight w:val="none"/>
        </w:rPr>
        <w:t>行政处罚裁量权时，适用的法律依据、处罚种类及处罚幅度应当基本相同。</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第十</w:t>
      </w:r>
      <w:r>
        <w:rPr>
          <w:rFonts w:hint="eastAsia" w:ascii="方正黑体_GBK" w:hAnsi="方正黑体_GBK" w:eastAsia="方正黑体_GBK" w:cs="方正黑体_GBK"/>
          <w:color w:val="auto"/>
          <w:sz w:val="32"/>
          <w:szCs w:val="32"/>
          <w:highlight w:val="none"/>
          <w:lang w:val="en-US"/>
        </w:rPr>
        <w:t>八</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rPr>
        <w:t xml:space="preserve"> 案件承办</w:t>
      </w:r>
      <w:r>
        <w:rPr>
          <w:rFonts w:hint="eastAsia" w:ascii="方正仿宋_GBK" w:hAnsi="方正仿宋_GBK" w:eastAsia="方正仿宋_GBK" w:cs="方正仿宋_GBK"/>
          <w:color w:val="auto"/>
          <w:sz w:val="32"/>
          <w:szCs w:val="32"/>
          <w:highlight w:val="none"/>
          <w:lang w:val="en-US"/>
        </w:rPr>
        <w:t>部门</w:t>
      </w:r>
      <w:r>
        <w:rPr>
          <w:rFonts w:hint="eastAsia" w:ascii="方正仿宋_GBK" w:hAnsi="方正仿宋_GBK" w:eastAsia="方正仿宋_GBK" w:cs="方正仿宋_GBK"/>
          <w:color w:val="auto"/>
          <w:sz w:val="32"/>
          <w:szCs w:val="32"/>
          <w:highlight w:val="none"/>
        </w:rPr>
        <w:t>应当收集可能影响行政处罚裁量的证据，</w:t>
      </w:r>
      <w:r>
        <w:rPr>
          <w:rFonts w:hint="eastAsia" w:ascii="方正仿宋_GBK" w:hAnsi="方正仿宋_GBK" w:eastAsia="方正仿宋_GBK" w:cs="方正仿宋_GBK"/>
          <w:color w:val="auto"/>
          <w:sz w:val="32"/>
          <w:szCs w:val="32"/>
          <w:highlight w:val="none"/>
          <w:lang w:val="en-US"/>
        </w:rPr>
        <w:t>包括</w:t>
      </w:r>
      <w:r>
        <w:rPr>
          <w:rFonts w:hint="eastAsia" w:ascii="方正仿宋_GBK" w:hAnsi="方正仿宋_GBK" w:eastAsia="方正仿宋_GBK" w:cs="方正仿宋_GBK"/>
          <w:color w:val="auto"/>
          <w:sz w:val="32"/>
          <w:szCs w:val="32"/>
          <w:highlight w:val="none"/>
        </w:rPr>
        <w:t>是否有不予行政处罚、减轻行政处罚、从轻行政处罚、从重行政处罚情形的证据</w:t>
      </w:r>
      <w:r>
        <w:rPr>
          <w:rFonts w:hint="eastAsia" w:ascii="方正仿宋_GBK" w:hAnsi="方正仿宋_GBK" w:eastAsia="方正仿宋_GBK" w:cs="方正仿宋_GBK"/>
          <w:color w:val="auto"/>
          <w:sz w:val="32"/>
          <w:szCs w:val="32"/>
          <w:highlight w:val="none"/>
          <w:lang w:eastAsia="zh-Hans"/>
        </w:rPr>
        <w:t>；</w:t>
      </w:r>
      <w:r>
        <w:rPr>
          <w:rFonts w:hint="eastAsia" w:ascii="方正仿宋_GBK" w:hAnsi="方正仿宋_GBK" w:eastAsia="方正仿宋_GBK" w:cs="方正仿宋_GBK"/>
          <w:color w:val="auto"/>
          <w:sz w:val="32"/>
          <w:szCs w:val="32"/>
          <w:highlight w:val="none"/>
          <w:lang w:val="en-US"/>
        </w:rPr>
        <w:t>应当听取当事人的陈述、申辩，</w:t>
      </w:r>
      <w:r>
        <w:rPr>
          <w:rFonts w:hint="eastAsia" w:ascii="方正仿宋_GBK" w:hAnsi="方正仿宋_GBK" w:eastAsia="方正仿宋_GBK" w:cs="方正仿宋_GBK"/>
          <w:color w:val="auto"/>
          <w:sz w:val="32"/>
          <w:szCs w:val="32"/>
          <w:highlight w:val="none"/>
        </w:rPr>
        <w:t>对当事人提出的</w:t>
      </w:r>
      <w:r>
        <w:rPr>
          <w:rFonts w:hint="eastAsia" w:ascii="方正仿宋_GBK" w:hAnsi="方正仿宋_GBK" w:eastAsia="方正仿宋_GBK" w:cs="方正仿宋_GBK"/>
          <w:color w:val="auto"/>
          <w:sz w:val="32"/>
          <w:szCs w:val="32"/>
          <w:highlight w:val="none"/>
          <w:lang w:val="en-US"/>
        </w:rPr>
        <w:t>事实、理由或</w:t>
      </w:r>
      <w:r>
        <w:rPr>
          <w:rFonts w:hint="eastAsia" w:ascii="方正仿宋_GBK" w:hAnsi="方正仿宋_GBK" w:eastAsia="方正仿宋_GBK" w:cs="方正仿宋_GBK"/>
          <w:color w:val="auto"/>
          <w:sz w:val="32"/>
          <w:szCs w:val="32"/>
          <w:highlight w:val="none"/>
        </w:rPr>
        <w:t>者</w:t>
      </w:r>
      <w:r>
        <w:rPr>
          <w:rFonts w:hint="eastAsia" w:ascii="方正仿宋_GBK" w:hAnsi="方正仿宋_GBK" w:eastAsia="方正仿宋_GBK" w:cs="方正仿宋_GBK"/>
          <w:color w:val="auto"/>
          <w:sz w:val="32"/>
          <w:szCs w:val="32"/>
          <w:highlight w:val="none"/>
          <w:lang w:val="en-US"/>
        </w:rPr>
        <w:t>证据</w:t>
      </w:r>
      <w:r>
        <w:rPr>
          <w:rFonts w:hint="eastAsia" w:ascii="方正仿宋_GBK" w:hAnsi="方正仿宋_GBK" w:eastAsia="方正仿宋_GBK" w:cs="方正仿宋_GBK"/>
          <w:color w:val="auto"/>
          <w:sz w:val="32"/>
          <w:szCs w:val="32"/>
          <w:highlight w:val="none"/>
        </w:rPr>
        <w:t>进行核实。当事人提出的</w:t>
      </w:r>
      <w:r>
        <w:rPr>
          <w:rFonts w:hint="eastAsia" w:ascii="方正仿宋_GBK" w:hAnsi="方正仿宋_GBK" w:eastAsia="方正仿宋_GBK" w:cs="方正仿宋_GBK"/>
          <w:color w:val="auto"/>
          <w:sz w:val="32"/>
          <w:szCs w:val="32"/>
          <w:highlight w:val="none"/>
          <w:lang w:val="en-US"/>
        </w:rPr>
        <w:t>事实、理由或</w:t>
      </w:r>
      <w:r>
        <w:rPr>
          <w:rFonts w:hint="eastAsia" w:ascii="方正仿宋_GBK" w:hAnsi="方正仿宋_GBK" w:eastAsia="方正仿宋_GBK" w:cs="方正仿宋_GBK"/>
          <w:color w:val="auto"/>
          <w:sz w:val="32"/>
          <w:szCs w:val="32"/>
          <w:highlight w:val="none"/>
        </w:rPr>
        <w:t>者</w:t>
      </w:r>
      <w:r>
        <w:rPr>
          <w:rFonts w:hint="eastAsia" w:ascii="方正仿宋_GBK" w:hAnsi="方正仿宋_GBK" w:eastAsia="方正仿宋_GBK" w:cs="方正仿宋_GBK"/>
          <w:color w:val="auto"/>
          <w:sz w:val="32"/>
          <w:szCs w:val="32"/>
          <w:highlight w:val="none"/>
          <w:lang w:val="en-US"/>
        </w:rPr>
        <w:t>证据成立的，应当采纳</w:t>
      </w:r>
      <w:r>
        <w:rPr>
          <w:rFonts w:hint="eastAsia" w:ascii="方正仿宋_GBK" w:hAnsi="方正仿宋_GBK" w:eastAsia="方正仿宋_GBK" w:cs="方正仿宋_GBK"/>
          <w:color w:val="auto"/>
          <w:sz w:val="32"/>
          <w:szCs w:val="32"/>
          <w:highlight w:val="none"/>
        </w:rPr>
        <w:t>。</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不得因当事人陈述、申辩而</w:t>
      </w:r>
      <w:r>
        <w:rPr>
          <w:rFonts w:hint="eastAsia" w:ascii="方正仿宋_GBK" w:hAnsi="方正仿宋_GBK" w:eastAsia="方正仿宋_GBK" w:cs="方正仿宋_GBK"/>
          <w:color w:val="auto"/>
          <w:sz w:val="32"/>
          <w:szCs w:val="32"/>
          <w:highlight w:val="none"/>
          <w:lang w:val="en-US"/>
        </w:rPr>
        <w:t>给予更重的</w:t>
      </w:r>
      <w:r>
        <w:rPr>
          <w:rFonts w:hint="eastAsia" w:ascii="方正仿宋_GBK" w:hAnsi="方正仿宋_GBK" w:eastAsia="方正仿宋_GBK" w:cs="方正仿宋_GBK"/>
          <w:color w:val="auto"/>
          <w:sz w:val="32"/>
          <w:szCs w:val="32"/>
          <w:highlight w:val="none"/>
        </w:rPr>
        <w:t>处罚。</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黑体_GBK" w:hAnsi="方正黑体_GBK" w:eastAsia="方正黑体_GBK" w:cs="方正黑体_GBK"/>
          <w:color w:val="auto"/>
          <w:sz w:val="32"/>
          <w:szCs w:val="32"/>
          <w:highlight w:val="none"/>
          <w:lang w:val="en-US"/>
        </w:rPr>
        <w:t>第十九条</w:t>
      </w:r>
      <w:r>
        <w:rPr>
          <w:rFonts w:hint="eastAsia" w:ascii="方正仿宋_GBK" w:hAnsi="方正仿宋_GBK" w:eastAsia="方正仿宋_GBK" w:cs="方正仿宋_GBK"/>
          <w:b/>
          <w:bCs/>
          <w:color w:val="auto"/>
          <w:sz w:val="32"/>
          <w:szCs w:val="32"/>
          <w:highlight w:val="none"/>
          <w:lang w:val="en-US"/>
        </w:rPr>
        <w:t xml:space="preserve"> </w:t>
      </w:r>
      <w:r>
        <w:rPr>
          <w:rFonts w:hint="eastAsia" w:ascii="方正仿宋_GBK" w:hAnsi="方正仿宋_GBK" w:eastAsia="方正仿宋_GBK" w:cs="方正仿宋_GBK"/>
          <w:color w:val="auto"/>
          <w:sz w:val="32"/>
          <w:szCs w:val="32"/>
          <w:highlight w:val="none"/>
          <w:lang w:val="en-US"/>
        </w:rPr>
        <w:t>拟作出行政处罚的案件，在作出行政处罚决定之前，应当告知当事人拟作出的行政处罚内容及事实、理由、依据，并告知当事人依法享有的陈述、申辩、要求听证等权利。</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黑体_GBK" w:hAnsi="方正黑体_GBK" w:eastAsia="方正黑体_GBK" w:cs="方正黑体_GBK"/>
          <w:bCs/>
          <w:color w:val="auto"/>
          <w:sz w:val="32"/>
          <w:szCs w:val="32"/>
          <w:highlight w:val="none"/>
          <w:lang w:val="en-US"/>
        </w:rPr>
        <w:t>第二十条</w:t>
      </w:r>
      <w:r>
        <w:rPr>
          <w:rFonts w:hint="eastAsia" w:ascii="方正仿宋_GBK" w:hAnsi="方正仿宋_GBK" w:eastAsia="方正仿宋_GBK" w:cs="方正仿宋_GBK"/>
          <w:b/>
          <w:color w:val="auto"/>
          <w:sz w:val="32"/>
          <w:szCs w:val="32"/>
          <w:highlight w:val="none"/>
          <w:lang w:val="en-US"/>
        </w:rPr>
        <w:t xml:space="preserve"> </w:t>
      </w:r>
      <w:r>
        <w:rPr>
          <w:rFonts w:hint="eastAsia" w:ascii="方正仿宋_GBK" w:hAnsi="方正仿宋_GBK" w:eastAsia="方正仿宋_GBK" w:cs="方正仿宋_GBK"/>
          <w:color w:val="auto"/>
          <w:sz w:val="32"/>
          <w:szCs w:val="32"/>
          <w:highlight w:val="none"/>
          <w:lang w:val="en-US"/>
        </w:rPr>
        <w:t>拟作出下列行政处罚决定的，应当告知当事人有要求举行听证的权利，当事人要求听证的，医疗保障行政部门应当依法组织听证：</w:t>
      </w:r>
    </w:p>
    <w:p>
      <w:pPr>
        <w:spacing w:line="580" w:lineRule="exact"/>
        <w:ind w:left="64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（一）较大数额罚款；</w:t>
      </w:r>
    </w:p>
    <w:p>
      <w:pPr>
        <w:spacing w:line="580" w:lineRule="exact"/>
        <w:ind w:left="64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（二）没收较大数额违法所得；</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（三）解除医保服务协议等直接关系到当事人或</w:t>
      </w:r>
      <w:r>
        <w:rPr>
          <w:rFonts w:hint="eastAsia" w:ascii="方正仿宋_GBK" w:hAnsi="方正仿宋_GBK" w:eastAsia="方正仿宋_GBK" w:cs="方正仿宋_GBK"/>
          <w:color w:val="auto"/>
          <w:sz w:val="32"/>
          <w:szCs w:val="32"/>
          <w:highlight w:val="none"/>
        </w:rPr>
        <w:t>者</w:t>
      </w:r>
      <w:r>
        <w:rPr>
          <w:rFonts w:hint="eastAsia" w:ascii="方正仿宋_GBK" w:hAnsi="方正仿宋_GBK" w:eastAsia="方正仿宋_GBK" w:cs="方正仿宋_GBK"/>
          <w:color w:val="auto"/>
          <w:sz w:val="32"/>
          <w:szCs w:val="32"/>
          <w:highlight w:val="none"/>
          <w:lang w:val="en-US"/>
        </w:rPr>
        <w:t>第三人重大权益的；</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（四）法律、法规、规章规定的其他情形。</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黑体_GBK" w:hAnsi="方正黑体_GBK" w:eastAsia="方正黑体_GBK" w:cs="方正黑体_GBK"/>
          <w:color w:val="auto"/>
          <w:sz w:val="32"/>
          <w:szCs w:val="32"/>
          <w:highlight w:val="none"/>
          <w:lang w:val="en-US"/>
        </w:rPr>
        <w:t>第二十一条</w:t>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有下列情形之一的，医疗保障行政部门在作出决定之前，应提交本单位法制机构进行法制审核，未经法制审核或者审核未通过的，不得作出决定：</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（一）责令追回医保基金或者罚款、没收违法所得数额较大的；</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（二）责令解除医保服务协议等直接关系到当事人或</w:t>
      </w:r>
      <w:r>
        <w:rPr>
          <w:rFonts w:hint="eastAsia" w:ascii="方正仿宋_GBK" w:hAnsi="方正仿宋_GBK" w:eastAsia="方正仿宋_GBK" w:cs="方正仿宋_GBK"/>
          <w:color w:val="auto"/>
          <w:sz w:val="32"/>
          <w:szCs w:val="32"/>
          <w:highlight w:val="none"/>
        </w:rPr>
        <w:t>者</w:t>
      </w:r>
      <w:r>
        <w:rPr>
          <w:rFonts w:hint="eastAsia" w:ascii="方正仿宋_GBK" w:hAnsi="方正仿宋_GBK" w:eastAsia="方正仿宋_GBK" w:cs="方正仿宋_GBK"/>
          <w:color w:val="auto"/>
          <w:sz w:val="32"/>
          <w:szCs w:val="32"/>
          <w:highlight w:val="none"/>
          <w:lang w:val="en-US"/>
        </w:rPr>
        <w:t>第三人重大权益，经过听证程序的；</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（三）案件情况疑难复杂、涉及多个法律关系的；</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（四）涉及重大公共利益的；</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（五）法律、法规</w:t>
      </w:r>
      <w:r>
        <w:rPr>
          <w:rFonts w:hint="eastAsia" w:ascii="方正仿宋_GBK" w:hAnsi="方正仿宋_GBK" w:eastAsia="方正仿宋_GBK" w:cs="方正仿宋_GBK"/>
          <w:color w:val="auto"/>
          <w:sz w:val="32"/>
          <w:szCs w:val="32"/>
          <w:highlight w:val="none"/>
          <w:lang w:val="en-US" w:eastAsia="zh-CN"/>
        </w:rPr>
        <w:t>、规章</w:t>
      </w:r>
      <w:r>
        <w:rPr>
          <w:rFonts w:hint="eastAsia" w:ascii="方正仿宋_GBK" w:hAnsi="方正仿宋_GBK" w:eastAsia="方正仿宋_GBK" w:cs="方正仿宋_GBK"/>
          <w:color w:val="auto"/>
          <w:sz w:val="32"/>
          <w:szCs w:val="32"/>
          <w:highlight w:val="none"/>
          <w:lang w:val="en-US"/>
        </w:rPr>
        <w:t>规定的其他需要审核的重大行政执法情形。</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黑体_GBK" w:hAnsi="方正黑体_GBK" w:eastAsia="方正黑体_GBK" w:cs="方正黑体_GBK"/>
          <w:bCs/>
          <w:color w:val="auto"/>
          <w:sz w:val="32"/>
          <w:szCs w:val="32"/>
          <w:highlight w:val="none"/>
          <w:lang w:val="en-US"/>
        </w:rPr>
        <w:t>第二十二条</w:t>
      </w:r>
      <w:r>
        <w:rPr>
          <w:rFonts w:hint="eastAsia" w:ascii="方正仿宋_GBK" w:hAnsi="方正仿宋_GBK" w:eastAsia="方正仿宋_GBK" w:cs="方正仿宋_GBK"/>
          <w:color w:val="auto"/>
          <w:sz w:val="32"/>
          <w:szCs w:val="32"/>
          <w:highlight w:val="none"/>
          <w:lang w:val="en-US"/>
        </w:rPr>
        <w:t xml:space="preserve"> 法制审核机构应当根据案件事实、法律适用和处罚程序的情况，分别作出以下决定：</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（一）事实清楚、定性准确、程序合法、法律文书规范齐备且适用法律、法规、规章正确的，提出同意的审核意见；</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（二）行政执法决定违法或者不能成立的，提出不予同意的审核意见；</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（三）定性不准，适用法律、法规、规章或者行政裁量基准不当的，提出变更的审核意见；</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（四）事实不清、证据不足，提出补充调查或者不予作出行政执法决定的审核意见；</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（五）程序不合法的，提出纠正的审核意见；</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（六）超出各级医疗保障行政部门管辖范围或者违法行为构成犯罪的，提出移送有管辖权的部门处理或者移送司法机关处理的审核意见。</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上述第（二）（三）（四）（五）（六）项，案件承办部门应当按照法制审核意见进行补正或者更正。</w:t>
      </w:r>
    </w:p>
    <w:p>
      <w:pPr>
        <w:spacing w:line="580" w:lineRule="exact"/>
        <w:ind w:firstLine="640" w:firstLineChars="200"/>
        <w:rPr>
          <w:rFonts w:ascii="方正仿宋_GBK" w:hAnsi="方正仿宋_GBK" w:eastAsia="方正仿宋_GBK" w:cs="方正仿宋_GBK"/>
          <w:color w:val="auto"/>
          <w:sz w:val="32"/>
          <w:szCs w:val="32"/>
          <w:highlight w:val="none"/>
          <w:lang w:val="en-US"/>
        </w:rPr>
      </w:pPr>
      <w:r>
        <w:rPr>
          <w:rFonts w:hint="eastAsia" w:ascii="方正黑体_GBK" w:hAnsi="方正黑体_GBK" w:eastAsia="方正黑体_GBK" w:cs="方正黑体_GBK"/>
          <w:color w:val="auto"/>
          <w:sz w:val="32"/>
          <w:szCs w:val="32"/>
          <w:highlight w:val="none"/>
          <w:lang w:val="en-US"/>
        </w:rPr>
        <w:t>第二十三条</w:t>
      </w:r>
      <w:r>
        <w:rPr>
          <w:rFonts w:hint="eastAsia" w:ascii="方正仿宋_GBK" w:hAnsi="方正仿宋_GBK" w:eastAsia="方正仿宋_GBK" w:cs="方正仿宋_GBK"/>
          <w:color w:val="auto"/>
          <w:sz w:val="32"/>
          <w:szCs w:val="32"/>
          <w:highlight w:val="none"/>
          <w:lang w:val="en-US"/>
        </w:rPr>
        <w:t xml:space="preserve"> 案件调查终结，医疗保障行政部门负责人应当根据相关法律规定对案件调查终结报告、法制审核意见、当事人陈述和申辩意见或者听证报告等进行审查，根据案件情况，作出决定。</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拟作出不予行政处罚、减轻行政处罚的案件或者对情节复杂、重大违法行为给予行政处罚的案件，应当由医疗保障行政部门负责人</w:t>
      </w:r>
      <w:r>
        <w:rPr>
          <w:rFonts w:hint="eastAsia" w:ascii="方正仿宋_GBK" w:hAnsi="方正仿宋_GBK" w:eastAsia="方正仿宋_GBK" w:cs="方正仿宋_GBK"/>
          <w:color w:val="auto"/>
          <w:sz w:val="32"/>
          <w:szCs w:val="32"/>
          <w:highlight w:val="none"/>
          <w:lang w:val="en-US" w:eastAsia="zh-CN"/>
        </w:rPr>
        <w:t>组织</w:t>
      </w:r>
      <w:r>
        <w:rPr>
          <w:rFonts w:hint="eastAsia" w:ascii="方正仿宋_GBK" w:hAnsi="方正仿宋_GBK" w:eastAsia="方正仿宋_GBK" w:cs="方正仿宋_GBK"/>
          <w:color w:val="auto"/>
          <w:sz w:val="32"/>
          <w:szCs w:val="32"/>
          <w:highlight w:val="none"/>
          <w:lang w:val="en-US"/>
        </w:rPr>
        <w:t>集体讨论决定。</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案件承办部门或</w:t>
      </w:r>
      <w:r>
        <w:rPr>
          <w:rFonts w:hint="eastAsia" w:ascii="方正仿宋_GBK" w:hAnsi="方正仿宋_GBK" w:eastAsia="方正仿宋_GBK" w:cs="方正仿宋_GBK"/>
          <w:color w:val="auto"/>
          <w:sz w:val="32"/>
          <w:szCs w:val="32"/>
          <w:highlight w:val="none"/>
        </w:rPr>
        <w:t>者</w:t>
      </w:r>
      <w:r>
        <w:rPr>
          <w:rFonts w:hint="eastAsia" w:ascii="方正仿宋_GBK" w:hAnsi="方正仿宋_GBK" w:eastAsia="方正仿宋_GBK" w:cs="方正仿宋_GBK"/>
          <w:color w:val="auto"/>
          <w:sz w:val="32"/>
          <w:szCs w:val="32"/>
          <w:highlight w:val="none"/>
          <w:lang w:val="en-US"/>
        </w:rPr>
        <w:t>办案人员与法制机构对行使行政处罚裁量权的意见存在重大分歧的，应当报请医疗保障行政部门负责人组织集体讨论决定。</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黑体_GBK" w:hAnsi="方正黑体_GBK" w:eastAsia="方正黑体_GBK" w:cs="方正黑体_GBK"/>
          <w:color w:val="auto"/>
          <w:sz w:val="32"/>
          <w:szCs w:val="32"/>
          <w:highlight w:val="none"/>
          <w:lang w:val="en-US"/>
        </w:rPr>
        <w:t>第二十四条</w:t>
      </w:r>
      <w:r>
        <w:rPr>
          <w:rFonts w:hint="eastAsia" w:ascii="方正仿宋_GBK" w:hAnsi="方正仿宋_GBK" w:eastAsia="方正仿宋_GBK" w:cs="方正仿宋_GBK"/>
          <w:b/>
          <w:bCs/>
          <w:color w:val="auto"/>
          <w:sz w:val="32"/>
          <w:szCs w:val="32"/>
          <w:highlight w:val="none"/>
          <w:lang w:val="en-US"/>
        </w:rPr>
        <w:t xml:space="preserve"> </w:t>
      </w:r>
      <w:r>
        <w:rPr>
          <w:rFonts w:hint="eastAsia" w:ascii="方正仿宋_GBK" w:hAnsi="方正仿宋_GBK" w:eastAsia="方正仿宋_GBK" w:cs="方正仿宋_GBK"/>
          <w:color w:val="auto"/>
          <w:sz w:val="32"/>
          <w:szCs w:val="32"/>
          <w:highlight w:val="none"/>
          <w:lang w:val="en-US"/>
        </w:rPr>
        <w:t>医疗保障行政部门依法作出的行政处罚决定书中，应当载明申请行政复议或</w:t>
      </w:r>
      <w:r>
        <w:rPr>
          <w:rFonts w:hint="eastAsia" w:ascii="方正仿宋_GBK" w:hAnsi="方正仿宋_GBK" w:eastAsia="方正仿宋_GBK" w:cs="方正仿宋_GBK"/>
          <w:color w:val="auto"/>
          <w:sz w:val="32"/>
          <w:szCs w:val="32"/>
          <w:highlight w:val="none"/>
        </w:rPr>
        <w:t>者</w:t>
      </w:r>
      <w:r>
        <w:rPr>
          <w:rFonts w:hint="eastAsia" w:ascii="方正仿宋_GBK" w:hAnsi="方正仿宋_GBK" w:eastAsia="方正仿宋_GBK" w:cs="方正仿宋_GBK"/>
          <w:color w:val="auto"/>
          <w:sz w:val="32"/>
          <w:szCs w:val="32"/>
          <w:highlight w:val="none"/>
          <w:lang w:val="en-US"/>
        </w:rPr>
        <w:t>提起行政诉讼的途径和期限。</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第二十五条</w:t>
      </w:r>
      <w:r>
        <w:rPr>
          <w:rFonts w:hint="eastAsia" w:ascii="方正仿宋_GBK" w:hAnsi="方正仿宋_GBK" w:eastAsia="方正仿宋_GBK" w:cs="方正仿宋_GBK"/>
          <w:color w:val="auto"/>
          <w:sz w:val="32"/>
          <w:szCs w:val="32"/>
          <w:highlight w:val="none"/>
        </w:rPr>
        <w:t xml:space="preserve"> 全省各级医疗保障行政部门行使行政处罚裁量权所依据的行政处罚裁量基准应当向社会公布，作出的行政处罚决定应当依法公示。</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第二十</w:t>
      </w:r>
      <w:r>
        <w:rPr>
          <w:rFonts w:hint="eastAsia" w:ascii="方正黑体_GBK" w:hAnsi="方正黑体_GBK" w:eastAsia="方正黑体_GBK" w:cs="方正黑体_GBK"/>
          <w:color w:val="auto"/>
          <w:sz w:val="32"/>
          <w:szCs w:val="32"/>
          <w:highlight w:val="none"/>
          <w:lang w:val="en-US"/>
        </w:rPr>
        <w:t>六</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rPr>
        <w:t xml:space="preserve"> 医疗保障行政部门应当加强对行使行政处罚裁量权的监督，发现本部门行使行政处罚裁量权不当的，应当及时予以纠正。</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各级医疗保障行政部门发现</w:t>
      </w:r>
      <w:r>
        <w:rPr>
          <w:rFonts w:hint="eastAsia" w:ascii="方正仿宋_GBK" w:hAnsi="方正仿宋_GBK" w:eastAsia="方正仿宋_GBK" w:cs="方正仿宋_GBK"/>
          <w:color w:val="auto"/>
          <w:sz w:val="32"/>
          <w:szCs w:val="32"/>
          <w:highlight w:val="none"/>
          <w:lang w:val="en-US"/>
        </w:rPr>
        <w:t>下级</w:t>
      </w:r>
      <w:r>
        <w:rPr>
          <w:rFonts w:hint="eastAsia" w:ascii="方正仿宋_GBK" w:hAnsi="方正仿宋_GBK" w:eastAsia="方正仿宋_GBK" w:cs="方正仿宋_GBK"/>
          <w:color w:val="auto"/>
          <w:sz w:val="32"/>
          <w:szCs w:val="32"/>
          <w:highlight w:val="none"/>
        </w:rPr>
        <w:t>医疗保障行政部门行使行政处罚裁量权不当的</w:t>
      </w:r>
      <w:r>
        <w:rPr>
          <w:rFonts w:hint="eastAsia" w:ascii="方正仿宋_GBK" w:hAnsi="方正仿宋_GBK" w:eastAsia="方正仿宋_GBK" w:cs="方正仿宋_GBK"/>
          <w:color w:val="auto"/>
          <w:sz w:val="32"/>
          <w:szCs w:val="32"/>
          <w:highlight w:val="none"/>
          <w:lang w:val="en-US"/>
        </w:rPr>
        <w:t>或</w:t>
      </w:r>
      <w:r>
        <w:rPr>
          <w:rFonts w:hint="eastAsia" w:ascii="方正仿宋_GBK" w:hAnsi="方正仿宋_GBK" w:eastAsia="方正仿宋_GBK" w:cs="方正仿宋_GBK"/>
          <w:color w:val="auto"/>
          <w:sz w:val="32"/>
          <w:szCs w:val="32"/>
          <w:highlight w:val="none"/>
        </w:rPr>
        <w:t>者</w:t>
      </w:r>
      <w:r>
        <w:rPr>
          <w:rFonts w:hint="eastAsia" w:ascii="方正仿宋_GBK" w:hAnsi="方正仿宋_GBK" w:eastAsia="方正仿宋_GBK" w:cs="方正仿宋_GBK"/>
          <w:color w:val="auto"/>
          <w:sz w:val="32"/>
          <w:szCs w:val="32"/>
          <w:highlight w:val="none"/>
          <w:lang w:val="en-US"/>
        </w:rPr>
        <w:t>行政处罚确有错误的</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rPr>
        <w:t>应</w:t>
      </w:r>
      <w:r>
        <w:rPr>
          <w:rFonts w:hint="eastAsia" w:ascii="方正仿宋_GBK" w:hAnsi="方正仿宋_GBK" w:eastAsia="方正仿宋_GBK" w:cs="方正仿宋_GBK"/>
          <w:color w:val="auto"/>
          <w:sz w:val="32"/>
          <w:szCs w:val="32"/>
          <w:highlight w:val="none"/>
          <w:lang w:val="en-US" w:eastAsia="zh-Hans"/>
        </w:rPr>
        <w:t>当及时</w:t>
      </w:r>
      <w:r>
        <w:rPr>
          <w:rFonts w:hint="eastAsia" w:ascii="方正仿宋_GBK" w:hAnsi="方正仿宋_GBK" w:eastAsia="方正仿宋_GBK" w:cs="方正仿宋_GBK"/>
          <w:color w:val="auto"/>
          <w:sz w:val="32"/>
          <w:szCs w:val="32"/>
          <w:highlight w:val="none"/>
          <w:lang w:val="en-US"/>
        </w:rPr>
        <w:t>纠正</w:t>
      </w:r>
      <w:r>
        <w:rPr>
          <w:rFonts w:hint="eastAsia" w:ascii="方正仿宋_GBK" w:hAnsi="方正仿宋_GBK" w:eastAsia="方正仿宋_GBK" w:cs="方正仿宋_GBK"/>
          <w:color w:val="auto"/>
          <w:sz w:val="32"/>
          <w:szCs w:val="32"/>
          <w:highlight w:val="none"/>
        </w:rPr>
        <w:t>。</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黑体_GBK" w:hAnsi="方正黑体_GBK" w:eastAsia="方正黑体_GBK" w:cs="方正黑体_GBK"/>
          <w:color w:val="auto"/>
          <w:sz w:val="32"/>
          <w:szCs w:val="32"/>
          <w:highlight w:val="none"/>
          <w:lang w:val="en-US"/>
        </w:rPr>
        <w:t>第二十七条</w:t>
      </w:r>
      <w:r>
        <w:rPr>
          <w:rFonts w:hint="eastAsia" w:ascii="方正仿宋_GBK" w:hAnsi="方正仿宋_GBK" w:eastAsia="方正仿宋_GBK" w:cs="方正仿宋_GBK"/>
          <w:color w:val="auto"/>
          <w:sz w:val="32"/>
          <w:szCs w:val="32"/>
          <w:highlight w:val="none"/>
          <w:lang w:val="en-US"/>
        </w:rPr>
        <w:t xml:space="preserve"> 云南省医疗保障局依据本基准规则制定《云南省医疗保障行政处罚裁量</w:t>
      </w:r>
      <w:r>
        <w:rPr>
          <w:rFonts w:hint="eastAsia" w:ascii="方正仿宋_GBK" w:hAnsi="方正仿宋_GBK" w:eastAsia="方正仿宋_GBK" w:cs="方正仿宋_GBK"/>
          <w:color w:val="auto"/>
          <w:sz w:val="32"/>
          <w:szCs w:val="32"/>
          <w:highlight w:val="none"/>
          <w:lang w:val="en-US" w:eastAsia="zh-CN"/>
        </w:rPr>
        <w:t>及减免责清单</w:t>
      </w:r>
      <w:r>
        <w:rPr>
          <w:rFonts w:hint="eastAsia" w:ascii="方正仿宋_GBK" w:hAnsi="方正仿宋_GBK" w:eastAsia="方正仿宋_GBK" w:cs="方正仿宋_GBK"/>
          <w:color w:val="auto"/>
          <w:sz w:val="32"/>
          <w:szCs w:val="32"/>
          <w:highlight w:val="none"/>
          <w:lang w:val="en-US"/>
        </w:rPr>
        <w:t>》（以下简称《裁量</w:t>
      </w:r>
      <w:r>
        <w:rPr>
          <w:rFonts w:hint="eastAsia" w:ascii="方正仿宋_GBK" w:hAnsi="方正仿宋_GBK" w:eastAsia="方正仿宋_GBK" w:cs="方正仿宋_GBK"/>
          <w:color w:val="auto"/>
          <w:sz w:val="32"/>
          <w:szCs w:val="32"/>
          <w:highlight w:val="none"/>
          <w:lang w:val="en-US" w:eastAsia="zh-CN"/>
        </w:rPr>
        <w:t>及减免责清单</w:t>
      </w:r>
      <w:r>
        <w:rPr>
          <w:rFonts w:hint="eastAsia" w:ascii="方正仿宋_GBK" w:hAnsi="方正仿宋_GBK" w:eastAsia="方正仿宋_GBK" w:cs="方正仿宋_GBK"/>
          <w:color w:val="auto"/>
          <w:sz w:val="32"/>
          <w:szCs w:val="32"/>
          <w:highlight w:val="none"/>
          <w:lang w:val="en-US"/>
        </w:rPr>
        <w:t>》）。《裁量</w:t>
      </w:r>
      <w:r>
        <w:rPr>
          <w:rFonts w:hint="eastAsia" w:ascii="方正仿宋_GBK" w:hAnsi="方正仿宋_GBK" w:eastAsia="方正仿宋_GBK" w:cs="方正仿宋_GBK"/>
          <w:color w:val="auto"/>
          <w:sz w:val="32"/>
          <w:szCs w:val="32"/>
          <w:highlight w:val="none"/>
          <w:lang w:val="en-US" w:eastAsia="zh-CN"/>
        </w:rPr>
        <w:t>及减免责清单</w:t>
      </w:r>
      <w:r>
        <w:rPr>
          <w:rFonts w:hint="eastAsia" w:ascii="方正仿宋_GBK" w:hAnsi="方正仿宋_GBK" w:eastAsia="方正仿宋_GBK" w:cs="方正仿宋_GBK"/>
          <w:color w:val="auto"/>
          <w:sz w:val="32"/>
          <w:szCs w:val="32"/>
          <w:highlight w:val="none"/>
          <w:lang w:val="en-US"/>
        </w:rPr>
        <w:t>》对有关违法行为未作规定或者规定不明确的，应当参照本基准规则的相关要求，结合案件实际，综合考量作出行政处罚决定。</w:t>
      </w:r>
    </w:p>
    <w:p>
      <w:pPr>
        <w:spacing w:line="580" w:lineRule="exact"/>
        <w:ind w:firstLine="640" w:firstLineChars="200"/>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rPr>
        <w:t>云南省医疗保障局根据《裁量</w:t>
      </w:r>
      <w:r>
        <w:rPr>
          <w:rFonts w:hint="eastAsia" w:ascii="方正仿宋_GBK" w:hAnsi="方正仿宋_GBK" w:eastAsia="方正仿宋_GBK" w:cs="方正仿宋_GBK"/>
          <w:color w:val="auto"/>
          <w:sz w:val="32"/>
          <w:szCs w:val="32"/>
          <w:highlight w:val="none"/>
          <w:lang w:val="en-US" w:eastAsia="zh-CN"/>
        </w:rPr>
        <w:t>及减免责清单</w:t>
      </w:r>
      <w:r>
        <w:rPr>
          <w:rFonts w:hint="eastAsia" w:ascii="方正仿宋_GBK" w:hAnsi="方正仿宋_GBK" w:eastAsia="方正仿宋_GBK" w:cs="方正仿宋_GBK"/>
          <w:color w:val="auto"/>
          <w:sz w:val="32"/>
          <w:szCs w:val="32"/>
          <w:highlight w:val="none"/>
          <w:lang w:val="en-US"/>
        </w:rPr>
        <w:t>》的执行情况定期对其进行修订和完善。</w:t>
      </w:r>
    </w:p>
    <w:p>
      <w:pPr>
        <w:spacing w:line="580" w:lineRule="exact"/>
        <w:ind w:firstLine="640" w:firstLineChars="200"/>
        <w:rPr>
          <w:rFonts w:hint="eastAsia" w:ascii="方正楷体_GBK" w:hAnsi="方正楷体_GBK" w:eastAsia="方正楷体_GBK" w:cs="方正楷体_GBK"/>
          <w:color w:val="auto"/>
          <w:sz w:val="28"/>
          <w:szCs w:val="28"/>
          <w:highlight w:val="none"/>
          <w:lang w:val="en-US"/>
        </w:rPr>
      </w:pPr>
      <w:r>
        <w:rPr>
          <w:rFonts w:hint="eastAsia" w:ascii="方正黑体_GBK" w:hAnsi="方正黑体_GBK" w:eastAsia="方正黑体_GBK" w:cs="方正黑体_GBK"/>
          <w:color w:val="auto"/>
          <w:sz w:val="32"/>
          <w:szCs w:val="32"/>
          <w:highlight w:val="none"/>
          <w:lang w:val="en-US"/>
        </w:rPr>
        <w:t>第二十八条</w:t>
      </w:r>
      <w:r>
        <w:rPr>
          <w:rFonts w:hint="eastAsia" w:ascii="方正仿宋_GBK" w:hAnsi="方正仿宋_GBK" w:eastAsia="方正仿宋_GBK" w:cs="方正仿宋_GBK"/>
          <w:color w:val="auto"/>
          <w:sz w:val="32"/>
          <w:szCs w:val="32"/>
          <w:highlight w:val="none"/>
          <w:lang w:val="en-US"/>
        </w:rPr>
        <w:t xml:space="preserve"> 本基准规则及《裁量</w:t>
      </w:r>
      <w:r>
        <w:rPr>
          <w:rFonts w:hint="eastAsia" w:ascii="方正仿宋_GBK" w:hAnsi="方正仿宋_GBK" w:eastAsia="方正仿宋_GBK" w:cs="方正仿宋_GBK"/>
          <w:color w:val="auto"/>
          <w:sz w:val="32"/>
          <w:szCs w:val="32"/>
          <w:highlight w:val="none"/>
          <w:lang w:val="en-US" w:eastAsia="zh-CN"/>
        </w:rPr>
        <w:t>及减免责清单</w:t>
      </w:r>
      <w:r>
        <w:rPr>
          <w:rFonts w:hint="eastAsia" w:ascii="方正仿宋_GBK" w:hAnsi="方正仿宋_GBK" w:eastAsia="方正仿宋_GBK" w:cs="方正仿宋_GBK"/>
          <w:color w:val="auto"/>
          <w:sz w:val="32"/>
          <w:szCs w:val="32"/>
          <w:highlight w:val="none"/>
          <w:lang w:val="en-US"/>
        </w:rPr>
        <w:t>》，由云南省医疗保障局负责解释。</w:t>
      </w:r>
    </w:p>
    <w:p>
      <w:pPr>
        <w:spacing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第二十九条</w:t>
      </w:r>
      <w:r>
        <w:rPr>
          <w:rFonts w:hint="eastAsia" w:ascii="方正仿宋_GBK" w:hAnsi="方正仿宋_GBK" w:eastAsia="方正仿宋_GBK" w:cs="方正仿宋_GBK"/>
          <w:color w:val="auto"/>
          <w:sz w:val="32"/>
          <w:szCs w:val="32"/>
          <w:highlight w:val="none"/>
        </w:rPr>
        <w:t xml:space="preserve"> 本基准规则及《</w:t>
      </w:r>
      <w:r>
        <w:rPr>
          <w:rFonts w:hint="eastAsia" w:ascii="方正仿宋_GBK" w:hAnsi="方正仿宋_GBK" w:eastAsia="方正仿宋_GBK" w:cs="方正仿宋_GBK"/>
          <w:color w:val="auto"/>
          <w:sz w:val="32"/>
          <w:szCs w:val="32"/>
          <w:highlight w:val="none"/>
          <w:lang w:val="en-US"/>
        </w:rPr>
        <w:t>裁量</w:t>
      </w:r>
      <w:r>
        <w:rPr>
          <w:rFonts w:hint="eastAsia" w:ascii="方正仿宋_GBK" w:hAnsi="方正仿宋_GBK" w:eastAsia="方正仿宋_GBK" w:cs="方正仿宋_GBK"/>
          <w:color w:val="auto"/>
          <w:sz w:val="32"/>
          <w:szCs w:val="32"/>
          <w:highlight w:val="none"/>
          <w:lang w:val="en-US" w:eastAsia="zh-CN"/>
        </w:rPr>
        <w:t>及减免责清单</w:t>
      </w:r>
      <w:r>
        <w:rPr>
          <w:rFonts w:hint="eastAsia" w:ascii="方正仿宋_GBK" w:hAnsi="方正仿宋_GBK" w:eastAsia="方正仿宋_GBK" w:cs="方正仿宋_GBK"/>
          <w:color w:val="auto"/>
          <w:sz w:val="32"/>
          <w:szCs w:val="32"/>
          <w:highlight w:val="none"/>
        </w:rPr>
        <w:t>》自</w:t>
      </w:r>
      <w:r>
        <w:rPr>
          <w:rFonts w:hint="default"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日起施行。</w:t>
      </w:r>
    </w:p>
    <w:p>
      <w:pPr>
        <w:pStyle w:val="2"/>
        <w:rPr>
          <w:rFonts w:hint="eastAsia" w:ascii="方正仿宋_GBK" w:hAnsi="方正仿宋_GBK" w:eastAsia="方正仿宋_GBK" w:cs="方正仿宋_GBK"/>
          <w:color w:val="auto"/>
          <w:sz w:val="32"/>
          <w:szCs w:val="32"/>
          <w:highlight w:val="none"/>
        </w:rPr>
      </w:pPr>
    </w:p>
    <w:p>
      <w:pPr>
        <w:spacing w:line="580" w:lineRule="exact"/>
        <w:ind w:firstLine="640" w:firstLineChars="200"/>
        <w:rPr>
          <w:rFonts w:hint="eastAsia" w:ascii="方正仿宋_GBK" w:hAnsi="方正仿宋_GBK" w:eastAsia="方正仿宋_GBK" w:cs="方正仿宋_GBK"/>
          <w:color w:val="auto"/>
          <w:sz w:val="32"/>
          <w:szCs w:val="32"/>
          <w:highlight w:val="none"/>
          <w:lang w:eastAsia="zh-CN"/>
        </w:rPr>
        <w:sectPr>
          <w:footerReference r:id="rId4" w:type="default"/>
          <w:pgSz w:w="11900" w:h="16840"/>
          <w:pgMar w:top="1984" w:right="1531" w:bottom="1417" w:left="1531" w:header="851" w:footer="992" w:gutter="0"/>
          <w:pgNumType w:fmt="decimal" w:start="1"/>
          <w:cols w:space="720" w:num="1"/>
          <w:docGrid w:type="lines" w:linePitch="312" w:charSpace="0"/>
        </w:sectPr>
      </w:pPr>
      <w:r>
        <w:rPr>
          <w:rFonts w:hint="eastAsia" w:ascii="方正仿宋_GBK" w:hAnsi="方正仿宋_GBK" w:eastAsia="方正仿宋_GBK" w:cs="方正仿宋_GBK"/>
          <w:color w:val="auto"/>
          <w:sz w:val="32"/>
          <w:szCs w:val="32"/>
          <w:highlight w:val="none"/>
          <w:lang w:eastAsia="zh-CN"/>
        </w:rPr>
        <w:t>附件：</w:t>
      </w:r>
      <w:r>
        <w:rPr>
          <w:rFonts w:hint="eastAsia" w:ascii="方正仿宋_GBK" w:hAnsi="方正仿宋_GBK" w:eastAsia="方正仿宋_GBK" w:cs="方正仿宋_GBK"/>
          <w:color w:val="auto"/>
          <w:sz w:val="32"/>
          <w:szCs w:val="32"/>
          <w:highlight w:val="none"/>
          <w:lang w:val="en-US"/>
        </w:rPr>
        <w:t>云南省医疗保障行政处罚裁量</w:t>
      </w:r>
      <w:r>
        <w:rPr>
          <w:rFonts w:hint="eastAsia" w:ascii="方正仿宋_GBK" w:hAnsi="方正仿宋_GBK" w:eastAsia="方正仿宋_GBK" w:cs="方正仿宋_GBK"/>
          <w:color w:val="auto"/>
          <w:sz w:val="32"/>
          <w:szCs w:val="32"/>
          <w:highlight w:val="none"/>
          <w:lang w:val="en-US" w:eastAsia="zh-CN"/>
        </w:rPr>
        <w:t>及减免责清单</w:t>
      </w:r>
    </w:p>
    <w:p>
      <w:pPr>
        <w:jc w:val="both"/>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w:t>
      </w:r>
    </w:p>
    <w:p>
      <w:pPr>
        <w:jc w:val="center"/>
        <w:rPr>
          <w:rFonts w:hint="eastAsia" w:ascii="方正小标宋_GBK" w:hAnsi="方正小标宋_GBK" w:eastAsia="方正小标宋_GBK" w:cs="方正小标宋_GBK"/>
          <w:color w:val="auto"/>
          <w:sz w:val="44"/>
          <w:szCs w:val="44"/>
          <w:highlight w:val="none"/>
          <w:lang w:val="en-US"/>
        </w:rPr>
      </w:pPr>
      <w:r>
        <w:rPr>
          <w:rFonts w:hint="eastAsia" w:ascii="方正小标宋_GBK" w:hAnsi="方正小标宋_GBK" w:eastAsia="方正小标宋_GBK" w:cs="方正小标宋_GBK"/>
          <w:color w:val="auto"/>
          <w:sz w:val="44"/>
          <w:szCs w:val="44"/>
          <w:highlight w:val="none"/>
          <w:lang w:val="en-US"/>
        </w:rPr>
        <w:t>云南省医疗保障行政处罚裁量</w:t>
      </w:r>
      <w:r>
        <w:rPr>
          <w:rFonts w:hint="eastAsia" w:ascii="方正小标宋_GBK" w:hAnsi="方正小标宋_GBK" w:eastAsia="方正小标宋_GBK" w:cs="方正小标宋_GBK"/>
          <w:color w:val="auto"/>
          <w:sz w:val="44"/>
          <w:szCs w:val="44"/>
          <w:highlight w:val="none"/>
          <w:lang w:val="en-US" w:eastAsia="zh-CN"/>
        </w:rPr>
        <w:t>及减免责清单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668"/>
        <w:gridCol w:w="4"/>
        <w:gridCol w:w="5410"/>
        <w:gridCol w:w="2775"/>
        <w:gridCol w:w="3815"/>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0" w:hRule="atLeast"/>
          <w:tblHeader/>
          <w:jc w:val="center"/>
        </w:trPr>
        <w:tc>
          <w:tcPr>
            <w:tcW w:w="672" w:type="dxa"/>
            <w:noWrap w:val="0"/>
            <w:vAlign w:val="center"/>
          </w:tcPr>
          <w:p>
            <w:pPr>
              <w:spacing w:line="400" w:lineRule="exact"/>
              <w:jc w:val="center"/>
              <w:rPr>
                <w:rFonts w:hint="eastAsia" w:ascii="方正黑体_GBK" w:hAnsi="方正黑体_GBK" w:eastAsia="方正黑体_GBK" w:cs="方正黑体_GBK"/>
                <w:color w:val="auto"/>
                <w:highlight w:val="none"/>
                <w:lang w:val="en-US"/>
              </w:rPr>
            </w:pPr>
            <w:r>
              <w:rPr>
                <w:rFonts w:hint="eastAsia" w:ascii="方正黑体_GBK" w:hAnsi="方正黑体_GBK" w:eastAsia="方正黑体_GBK" w:cs="方正黑体_GBK"/>
                <w:b w:val="0"/>
                <w:bCs w:val="0"/>
                <w:color w:val="auto"/>
                <w:kern w:val="0"/>
                <w:highlight w:val="none"/>
              </w:rPr>
              <w:t>序号</w:t>
            </w:r>
          </w:p>
        </w:tc>
        <w:tc>
          <w:tcPr>
            <w:tcW w:w="1668" w:type="dxa"/>
            <w:noWrap w:val="0"/>
            <w:vAlign w:val="center"/>
          </w:tcPr>
          <w:p>
            <w:pPr>
              <w:spacing w:line="400" w:lineRule="exact"/>
              <w:jc w:val="center"/>
              <w:rPr>
                <w:rFonts w:hint="eastAsia" w:ascii="方正黑体_GBK" w:hAnsi="方正黑体_GBK" w:eastAsia="方正黑体_GBK" w:cs="方正黑体_GBK"/>
                <w:color w:val="auto"/>
                <w:highlight w:val="none"/>
                <w:lang w:val="en-US"/>
              </w:rPr>
            </w:pPr>
            <w:r>
              <w:rPr>
                <w:rFonts w:hint="eastAsia" w:ascii="方正黑体_GBK" w:hAnsi="方正黑体_GBK" w:eastAsia="方正黑体_GBK" w:cs="方正黑体_GBK"/>
                <w:b w:val="0"/>
                <w:bCs w:val="0"/>
                <w:color w:val="auto"/>
                <w:kern w:val="0"/>
                <w:highlight w:val="none"/>
              </w:rPr>
              <w:t>违法行为</w:t>
            </w:r>
          </w:p>
        </w:tc>
        <w:tc>
          <w:tcPr>
            <w:tcW w:w="5414" w:type="dxa"/>
            <w:gridSpan w:val="2"/>
            <w:noWrap w:val="0"/>
            <w:vAlign w:val="center"/>
          </w:tcPr>
          <w:p>
            <w:pPr>
              <w:spacing w:line="400" w:lineRule="exact"/>
              <w:jc w:val="center"/>
              <w:rPr>
                <w:rFonts w:hint="eastAsia" w:ascii="方正黑体_GBK" w:hAnsi="方正黑体_GBK" w:eastAsia="方正黑体_GBK" w:cs="方正黑体_GBK"/>
                <w:color w:val="auto"/>
                <w:highlight w:val="none"/>
                <w:lang w:val="en-US"/>
              </w:rPr>
            </w:pPr>
            <w:r>
              <w:rPr>
                <w:rFonts w:hint="eastAsia" w:ascii="方正黑体_GBK" w:hAnsi="方正黑体_GBK" w:eastAsia="方正黑体_GBK" w:cs="方正黑体_GBK"/>
                <w:b w:val="0"/>
                <w:bCs w:val="0"/>
                <w:color w:val="auto"/>
                <w:kern w:val="0"/>
                <w:highlight w:val="none"/>
                <w:lang w:val="en-US"/>
              </w:rPr>
              <w:t>法律</w:t>
            </w:r>
            <w:r>
              <w:rPr>
                <w:rFonts w:hint="eastAsia" w:ascii="方正黑体_GBK" w:hAnsi="方正黑体_GBK" w:eastAsia="方正黑体_GBK" w:cs="方正黑体_GBK"/>
                <w:b w:val="0"/>
                <w:bCs w:val="0"/>
                <w:color w:val="auto"/>
                <w:kern w:val="0"/>
                <w:highlight w:val="none"/>
              </w:rPr>
              <w:t>依据</w:t>
            </w:r>
          </w:p>
        </w:tc>
        <w:tc>
          <w:tcPr>
            <w:tcW w:w="2775" w:type="dxa"/>
            <w:noWrap w:val="0"/>
            <w:vAlign w:val="center"/>
          </w:tcPr>
          <w:p>
            <w:pPr>
              <w:spacing w:line="360" w:lineRule="exact"/>
              <w:jc w:val="center"/>
              <w:rPr>
                <w:rFonts w:hint="eastAsia"/>
                <w:color w:val="auto"/>
                <w:lang w:val="en-US" w:eastAsia="zh-CN"/>
              </w:rPr>
            </w:pPr>
            <w:r>
              <w:rPr>
                <w:rFonts w:hint="eastAsia"/>
                <w:color w:val="auto"/>
                <w:lang w:val="en-US" w:eastAsia="zh-CN"/>
              </w:rPr>
              <w:t>裁量及</w:t>
            </w:r>
            <w:r>
              <w:rPr>
                <w:rFonts w:hint="eastAsia"/>
                <w:color w:val="auto"/>
                <w:lang w:eastAsia="zh-CN"/>
              </w:rPr>
              <w:t>减免责</w:t>
            </w:r>
            <w:r>
              <w:rPr>
                <w:rFonts w:hint="eastAsia"/>
                <w:color w:val="auto"/>
                <w:lang w:val="en-US" w:eastAsia="zh-CN"/>
              </w:rPr>
              <w:t>适用</w:t>
            </w:r>
          </w:p>
          <w:p>
            <w:pPr>
              <w:pStyle w:val="2"/>
              <w:spacing w:line="360" w:lineRule="exact"/>
              <w:rPr>
                <w:rFonts w:hint="eastAsia"/>
                <w:color w:val="auto"/>
                <w:lang w:val="en-US" w:eastAsia="zh-CN"/>
              </w:rPr>
            </w:pPr>
            <w:r>
              <w:rPr>
                <w:rFonts w:hint="eastAsia" w:ascii="方正黑体_GBK" w:hAnsi="方正黑体_GBK" w:eastAsia="方正黑体_GBK" w:cs="方正黑体_GBK"/>
                <w:b w:val="0"/>
                <w:bCs w:val="0"/>
                <w:color w:val="auto"/>
                <w:kern w:val="0"/>
                <w:highlight w:val="none"/>
                <w:lang w:val="en-US" w:eastAsia="zh-CN"/>
              </w:rPr>
              <w:t>（增加减免责适用表述）</w:t>
            </w:r>
          </w:p>
        </w:tc>
        <w:tc>
          <w:tcPr>
            <w:tcW w:w="3815" w:type="dxa"/>
            <w:noWrap w:val="0"/>
            <w:vAlign w:val="center"/>
          </w:tcPr>
          <w:p>
            <w:pPr>
              <w:spacing w:line="400" w:lineRule="exact"/>
              <w:jc w:val="center"/>
              <w:rPr>
                <w:rFonts w:hint="eastAsia" w:ascii="方正黑体_GBK" w:hAnsi="方正黑体_GBK" w:eastAsia="方正黑体_GBK" w:cs="方正黑体_GBK"/>
                <w:color w:val="auto"/>
                <w:highlight w:val="none"/>
                <w:lang w:val="en-US"/>
              </w:rPr>
            </w:pPr>
            <w:r>
              <w:rPr>
                <w:rFonts w:hint="eastAsia" w:ascii="方正黑体_GBK" w:hAnsi="方正黑体_GBK" w:eastAsia="方正黑体_GBK" w:cs="方正黑体_GBK"/>
                <w:b w:val="0"/>
                <w:bCs w:val="0"/>
                <w:color w:val="auto"/>
                <w:kern w:val="0"/>
                <w:highlight w:val="none"/>
              </w:rPr>
              <w:t>罚款的裁量标准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90" w:hRule="atLeast"/>
          <w:jc w:val="center"/>
        </w:trPr>
        <w:tc>
          <w:tcPr>
            <w:tcW w:w="672"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1</w:t>
            </w:r>
          </w:p>
        </w:tc>
        <w:tc>
          <w:tcPr>
            <w:tcW w:w="1668"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用人单位及其责任人员不办理医疗保险和生育保险登记，</w:t>
            </w:r>
          </w:p>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逾期不改的</w:t>
            </w:r>
          </w:p>
        </w:tc>
        <w:tc>
          <w:tcPr>
            <w:tcW w:w="5414" w:type="dxa"/>
            <w:gridSpan w:val="2"/>
            <w:vMerge w:val="restart"/>
            <w:noWrap w:val="0"/>
            <w:vAlign w:val="center"/>
          </w:tcPr>
          <w:p>
            <w:pPr>
              <w:widowControl/>
              <w:spacing w:line="360" w:lineRule="exact"/>
              <w:jc w:val="lef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shd w:val="clear" w:color="auto" w:fill="FFFFFF"/>
              </w:rPr>
              <w:t>《中华人民共和国社会保险法》</w:t>
            </w:r>
            <w:r>
              <w:rPr>
                <w:rFonts w:ascii="Times New Roman" w:hAnsi="Times New Roman" w:eastAsia="方正仿宋_GBK"/>
                <w:b/>
                <w:bCs/>
                <w:color w:val="auto"/>
                <w:kern w:val="0"/>
                <w:highlight w:val="none"/>
              </w:rPr>
              <w:t>第五十七条</w:t>
            </w:r>
            <w:r>
              <w:rPr>
                <w:rFonts w:ascii="Times New Roman" w:hAnsi="Times New Roman" w:eastAsia="方正仿宋_GBK"/>
                <w:color w:val="auto"/>
                <w:kern w:val="0"/>
                <w:highlight w:val="none"/>
              </w:rPr>
              <w:t xml:space="preserve">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widowControl/>
              <w:spacing w:line="360" w:lineRule="exact"/>
              <w:jc w:val="lef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《中华人民共和国社会保险法》第五十八条</w:t>
            </w:r>
            <w:r>
              <w:rPr>
                <w:rFonts w:ascii="Times New Roman" w:hAnsi="Times New Roman" w:eastAsia="方正仿宋_GBK"/>
                <w:color w:val="auto"/>
                <w:kern w:val="0"/>
                <w:highlight w:val="none"/>
                <w:shd w:val="clear" w:color="auto" w:fill="FFFFFF"/>
              </w:rPr>
              <w:t xml:space="preserve"> 用人单位应当自用工之日起三十日内为其职工向社会保险经办机构申请办理社会保险登记。未办理社会保险登记的，由社会保险经办机构核定其应当缴纳的社会保险费。</w:t>
            </w:r>
          </w:p>
          <w:p>
            <w:pPr>
              <w:widowControl/>
              <w:spacing w:line="360" w:lineRule="exact"/>
              <w:jc w:val="lef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shd w:val="clear" w:color="auto" w:fill="FFFFFF"/>
              </w:rPr>
              <w:t>《中华人民共和国社会保险法》第八十四条</w:t>
            </w:r>
            <w:r>
              <w:rPr>
                <w:rFonts w:ascii="Times New Roman" w:hAnsi="Times New Roman" w:eastAsia="方正仿宋_GBK"/>
                <w:color w:val="auto"/>
                <w:kern w:val="0"/>
                <w:highlight w:val="none"/>
                <w:shd w:val="clear" w:color="auto" w:fill="FFFFFF"/>
              </w:rPr>
              <w:t xml:space="preserve">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2775" w:type="dxa"/>
            <w:noWrap w:val="0"/>
            <w:vAlign w:val="center"/>
          </w:tcPr>
          <w:p>
            <w:pPr>
              <w:autoSpaceDE w:val="0"/>
              <w:spacing w:line="360" w:lineRule="exact"/>
              <w:rPr>
                <w:rFonts w:hint="eastAsia" w:ascii="Times New Roman" w:hAnsi="Times New Roman" w:eastAsia="方正仿宋_GBK"/>
                <w:color w:val="auto"/>
                <w:kern w:val="0"/>
                <w:highlight w:val="none"/>
                <w:lang w:eastAsia="zh-CN"/>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3815" w:type="dxa"/>
            <w:noWrap w:val="0"/>
            <w:vAlign w:val="center"/>
          </w:tcPr>
          <w:p>
            <w:pPr>
              <w:spacing w:line="360" w:lineRule="exact"/>
              <w:jc w:val="center"/>
              <w:rPr>
                <w:rFonts w:hint="eastAsia" w:ascii="Times New Roman" w:hAnsi="Times New Roman" w:eastAsia="方正仿宋_GBK"/>
                <w:color w:val="auto"/>
                <w:kern w:val="0"/>
                <w:highlight w:val="none"/>
                <w:shd w:val="clear" w:color="auto" w:fill="FFFFFF"/>
                <w:lang w:eastAsia="zh-CN"/>
              </w:rPr>
            </w:pP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2"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5414" w:type="dxa"/>
            <w:gridSpan w:val="2"/>
            <w:vMerge w:val="continue"/>
            <w:noWrap w:val="0"/>
            <w:vAlign w:val="center"/>
          </w:tcPr>
          <w:p>
            <w:pPr>
              <w:widowControl/>
              <w:spacing w:line="360" w:lineRule="exact"/>
              <w:jc w:val="left"/>
              <w:rPr>
                <w:rFonts w:ascii="Times New Roman" w:hAnsi="Times New Roman" w:eastAsia="方正仿宋_GBK"/>
                <w:color w:val="auto"/>
                <w:highlight w:val="none"/>
                <w:lang w:val="en-US"/>
              </w:rPr>
            </w:pPr>
          </w:p>
        </w:tc>
        <w:tc>
          <w:tcPr>
            <w:tcW w:w="2775" w:type="dxa"/>
            <w:noWrap w:val="0"/>
            <w:vAlign w:val="center"/>
          </w:tcPr>
          <w:p/>
          <w:p>
            <w:pPr>
              <w:autoSpaceDE w:val="0"/>
              <w:spacing w:line="360" w:lineRule="exact"/>
              <w:rPr>
                <w:rFonts w:ascii="Times New Roman" w:hAnsi="Times New Roman" w:eastAsia="方正仿宋_GBK"/>
                <w:color w:val="auto"/>
                <w:kern w:val="0"/>
                <w:highlight w:val="none"/>
                <w:lang w:val="en-US"/>
              </w:rPr>
            </w:pPr>
            <w:r>
              <w:rPr>
                <w:rFonts w:hint="eastAsia" w:ascii="Times New Roman" w:hAnsi="Times New Roman" w:eastAsia="方正仿宋_GBK"/>
                <w:b/>
                <w:bCs/>
                <w:color w:val="auto"/>
                <w:kern w:val="0"/>
                <w:highlight w:val="none"/>
                <w:lang w:eastAsia="zh-CN"/>
              </w:rPr>
              <w:t>从轻情形：</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rPr>
              <w:t>对用人单位处应缴社会保险费数额</w:t>
            </w:r>
            <w:r>
              <w:rPr>
                <w:rFonts w:ascii="Times New Roman" w:hAnsi="Times New Roman" w:eastAsia="方正仿宋_GBK"/>
                <w:color w:val="auto"/>
                <w:kern w:val="0"/>
                <w:highlight w:val="none"/>
                <w:shd w:val="clear" w:color="auto" w:fill="FFFFFF"/>
                <w:lang w:val="en-US"/>
              </w:rPr>
              <w:t>1</w:t>
            </w:r>
            <w:r>
              <w:rPr>
                <w:rFonts w:ascii="Times New Roman" w:hAnsi="Times New Roman" w:eastAsia="方正仿宋_GBK"/>
                <w:color w:val="auto"/>
                <w:kern w:val="0"/>
                <w:highlight w:val="none"/>
                <w:shd w:val="clear" w:color="auto" w:fill="FFFFFF"/>
              </w:rPr>
              <w:t>倍</w:t>
            </w:r>
            <w:r>
              <w:rPr>
                <w:rFonts w:ascii="Times New Roman" w:hAnsi="Times New Roman" w:eastAsia="方正仿宋_GBK"/>
                <w:color w:val="auto"/>
                <w:kern w:val="0"/>
                <w:highlight w:val="none"/>
                <w:shd w:val="clear" w:color="auto" w:fill="FFFFFF"/>
                <w:lang w:val="en-US"/>
              </w:rPr>
              <w:t>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1.6倍以下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rPr>
              <w:t>的罚款，对其直接负责的主管人员和其他直接责任人员处</w:t>
            </w:r>
            <w:r>
              <w:rPr>
                <w:rFonts w:ascii="Times New Roman" w:hAnsi="Times New Roman" w:eastAsia="方正仿宋_GBK"/>
                <w:color w:val="auto"/>
                <w:kern w:val="0"/>
                <w:highlight w:val="none"/>
                <w:shd w:val="clear" w:color="auto" w:fill="FFFFFF"/>
                <w:lang w:val="en-US"/>
              </w:rPr>
              <w:t>五百</w:t>
            </w:r>
            <w:r>
              <w:rPr>
                <w:rFonts w:ascii="Times New Roman" w:hAnsi="Times New Roman" w:eastAsia="方正仿宋_GBK"/>
                <w:color w:val="auto"/>
                <w:kern w:val="0"/>
                <w:highlight w:val="none"/>
                <w:shd w:val="clear" w:color="auto" w:fill="FFFFFF"/>
              </w:rPr>
              <w:t>元以上</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lang w:val="en-US"/>
              </w:rPr>
              <w:t>一千二百五十元</w:t>
            </w:r>
            <w:r>
              <w:rPr>
                <w:rFonts w:ascii="Times New Roman" w:hAnsi="Times New Roman" w:eastAsia="方正仿宋_GBK"/>
                <w:color w:val="auto"/>
                <w:kern w:val="0"/>
                <w:highlight w:val="none"/>
                <w:shd w:val="clear" w:color="auto" w:fill="FFFFFF"/>
              </w:rPr>
              <w:t>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不含本数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的罚款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0"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hint="eastAsia" w:ascii="Times New Roman" w:hAnsi="Times New Roman" w:eastAsia="方正仿宋_GBK"/>
                <w:color w:val="auto"/>
                <w:kern w:val="0"/>
                <w:highlight w:val="none"/>
                <w:lang w:val="en-US" w:eastAsia="zh-CN"/>
              </w:rPr>
            </w:pPr>
            <w:r>
              <w:rPr>
                <w:rFonts w:hint="eastAsia" w:ascii="Times New Roman" w:hAnsi="Times New Roman" w:eastAsia="方正仿宋_GBK"/>
                <w:b/>
                <w:bCs/>
                <w:color w:val="auto"/>
                <w:kern w:val="0"/>
                <w:highlight w:val="none"/>
                <w:lang w:eastAsia="zh-CN"/>
              </w:rPr>
              <w:t>一般情形：</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rPr>
              <w:t>对用人单位处应缴社会保险费数额</w:t>
            </w:r>
            <w:r>
              <w:rPr>
                <w:rFonts w:ascii="Times New Roman" w:hAnsi="Times New Roman" w:eastAsia="方正仿宋_GBK"/>
                <w:color w:val="auto"/>
                <w:kern w:val="0"/>
                <w:highlight w:val="none"/>
                <w:shd w:val="clear" w:color="auto" w:fill="FFFFFF"/>
                <w:lang w:val="en-US"/>
              </w:rPr>
              <w:t>1.6</w:t>
            </w:r>
            <w:r>
              <w:rPr>
                <w:rFonts w:ascii="Times New Roman" w:hAnsi="Times New Roman" w:eastAsia="方正仿宋_GBK"/>
                <w:color w:val="auto"/>
                <w:kern w:val="0"/>
                <w:highlight w:val="none"/>
                <w:shd w:val="clear" w:color="auto" w:fill="FFFFFF"/>
              </w:rPr>
              <w:t>倍</w:t>
            </w:r>
            <w:r>
              <w:rPr>
                <w:rFonts w:ascii="Times New Roman" w:hAnsi="Times New Roman" w:eastAsia="方正仿宋_GBK"/>
                <w:color w:val="auto"/>
                <w:kern w:val="0"/>
                <w:highlight w:val="none"/>
                <w:shd w:val="clear" w:color="auto" w:fill="FFFFFF"/>
                <w:lang w:val="en-US"/>
              </w:rPr>
              <w:t>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2.4倍以下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rPr>
              <w:t>的罚款，对其直接负责的主管人员和其他直接责任人员处</w:t>
            </w:r>
            <w:r>
              <w:rPr>
                <w:rFonts w:ascii="Times New Roman" w:hAnsi="Times New Roman" w:eastAsia="方正仿宋_GBK"/>
                <w:color w:val="auto"/>
                <w:kern w:val="0"/>
                <w:highlight w:val="none"/>
                <w:shd w:val="clear" w:color="auto" w:fill="FFFFFF"/>
                <w:lang w:val="en-US"/>
              </w:rPr>
              <w:t>一千二百五十</w:t>
            </w:r>
            <w:r>
              <w:rPr>
                <w:rFonts w:ascii="Times New Roman" w:hAnsi="Times New Roman" w:eastAsia="方正仿宋_GBK"/>
                <w:color w:val="auto"/>
                <w:kern w:val="0"/>
                <w:highlight w:val="none"/>
                <w:shd w:val="clear" w:color="auto" w:fill="FFFFFF"/>
              </w:rPr>
              <w:t>元以上</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lang w:val="en-US"/>
              </w:rPr>
              <w:t>二千二百五十元</w:t>
            </w:r>
            <w:r>
              <w:rPr>
                <w:rFonts w:ascii="Times New Roman" w:hAnsi="Times New Roman" w:eastAsia="方正仿宋_GBK"/>
                <w:color w:val="auto"/>
                <w:kern w:val="0"/>
                <w:highlight w:val="none"/>
                <w:shd w:val="clear" w:color="auto" w:fill="FFFFFF"/>
              </w:rPr>
              <w:t>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不含本数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的罚款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790"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rPr>
              <w:t>对用人单位处应缴社会保险费数额</w:t>
            </w:r>
            <w:r>
              <w:rPr>
                <w:rFonts w:ascii="Times New Roman" w:hAnsi="Times New Roman" w:eastAsia="方正仿宋_GBK"/>
                <w:color w:val="auto"/>
                <w:kern w:val="0"/>
                <w:highlight w:val="none"/>
                <w:shd w:val="clear" w:color="auto" w:fill="FFFFFF"/>
                <w:lang w:val="en-US"/>
              </w:rPr>
              <w:t>2.4</w:t>
            </w:r>
            <w:r>
              <w:rPr>
                <w:rFonts w:ascii="Times New Roman" w:hAnsi="Times New Roman" w:eastAsia="方正仿宋_GBK"/>
                <w:color w:val="auto"/>
                <w:kern w:val="0"/>
                <w:highlight w:val="none"/>
                <w:shd w:val="clear" w:color="auto" w:fill="FFFFFF"/>
              </w:rPr>
              <w:t>倍</w:t>
            </w:r>
            <w:r>
              <w:rPr>
                <w:rFonts w:ascii="Times New Roman" w:hAnsi="Times New Roman" w:eastAsia="方正仿宋_GBK"/>
                <w:color w:val="auto"/>
                <w:kern w:val="0"/>
                <w:highlight w:val="none"/>
                <w:shd w:val="clear" w:color="auto" w:fill="FFFFFF"/>
                <w:lang w:val="en-US"/>
              </w:rPr>
              <w:t>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3倍以下</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rPr>
              <w:t>的罚款，对其直接负责的主管人员和其他直接责任人员处</w:t>
            </w:r>
            <w:r>
              <w:rPr>
                <w:rFonts w:ascii="Times New Roman" w:hAnsi="Times New Roman" w:eastAsia="方正仿宋_GBK"/>
                <w:color w:val="auto"/>
                <w:kern w:val="0"/>
                <w:highlight w:val="none"/>
                <w:shd w:val="clear" w:color="auto" w:fill="FFFFFF"/>
                <w:lang w:val="en-US"/>
              </w:rPr>
              <w:t>二千二百五十元</w:t>
            </w:r>
            <w:r>
              <w:rPr>
                <w:rFonts w:ascii="Times New Roman" w:hAnsi="Times New Roman" w:eastAsia="方正仿宋_GBK"/>
                <w:color w:val="auto"/>
                <w:kern w:val="0"/>
                <w:highlight w:val="none"/>
                <w:shd w:val="clear" w:color="auto" w:fill="FFFFFF"/>
              </w:rPr>
              <w:t>以上</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lang w:val="en-US"/>
              </w:rPr>
              <w:t>三千元</w:t>
            </w:r>
            <w:r>
              <w:rPr>
                <w:rFonts w:ascii="Times New Roman" w:hAnsi="Times New Roman" w:eastAsia="方正仿宋_GBK"/>
                <w:color w:val="auto"/>
                <w:kern w:val="0"/>
                <w:highlight w:val="none"/>
                <w:shd w:val="clear" w:color="auto" w:fill="FFFFFF"/>
              </w:rPr>
              <w:t>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的罚款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268" w:hRule="atLeast"/>
          <w:jc w:val="center"/>
        </w:trPr>
        <w:tc>
          <w:tcPr>
            <w:tcW w:w="672" w:type="dxa"/>
            <w:vMerge w:val="restart"/>
            <w:noWrap w:val="0"/>
            <w:vAlign w:val="center"/>
          </w:tcPr>
          <w:p>
            <w:pPr>
              <w:spacing w:line="360" w:lineRule="exact"/>
              <w:jc w:val="center"/>
              <w:rPr>
                <w:rFonts w:hint="eastAsia" w:ascii="Times New Roman" w:hAnsi="Times New Roman" w:eastAsia="方正仿宋_GBK"/>
                <w:color w:val="auto"/>
                <w:highlight w:val="none"/>
                <w:lang w:val="en-US" w:eastAsia="zh-CN"/>
              </w:rPr>
            </w:pPr>
            <w:r>
              <w:rPr>
                <w:rFonts w:ascii="Times New Roman" w:hAnsi="Times New Roman" w:eastAsia="方正仿宋_GBK"/>
                <w:color w:val="auto"/>
                <w:highlight w:val="none"/>
                <w:lang w:val="en-US"/>
              </w:rPr>
              <w:t>2</w:t>
            </w:r>
          </w:p>
        </w:tc>
        <w:tc>
          <w:tcPr>
            <w:tcW w:w="1668" w:type="dxa"/>
            <w:vMerge w:val="restart"/>
            <w:noWrap w:val="0"/>
            <w:vAlign w:val="center"/>
          </w:tcPr>
          <w:p>
            <w:pPr>
              <w:spacing w:line="360" w:lineRule="exact"/>
              <w:jc w:val="both"/>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shd w:val="clear" w:color="auto" w:fill="FFFFFF"/>
                <w:lang w:val="en-US"/>
              </w:rPr>
              <w:t>用人单位未按时足额缴纳</w:t>
            </w:r>
            <w:r>
              <w:rPr>
                <w:rFonts w:ascii="Times New Roman" w:hAnsi="Times New Roman" w:eastAsia="方正仿宋_GBK"/>
                <w:color w:val="auto"/>
                <w:kern w:val="0"/>
                <w:highlight w:val="none"/>
                <w:lang w:val="en-US"/>
              </w:rPr>
              <w:t>医疗保险费和生育保险</w:t>
            </w:r>
            <w:r>
              <w:rPr>
                <w:rFonts w:ascii="Times New Roman" w:hAnsi="Times New Roman" w:eastAsia="方正仿宋_GBK"/>
                <w:color w:val="auto"/>
                <w:kern w:val="0"/>
                <w:highlight w:val="none"/>
                <w:shd w:val="clear" w:color="auto" w:fill="FFFFFF"/>
                <w:lang w:val="en-US"/>
              </w:rPr>
              <w:t>费且逾期不缴纳的</w:t>
            </w:r>
          </w:p>
        </w:tc>
        <w:tc>
          <w:tcPr>
            <w:tcW w:w="5414" w:type="dxa"/>
            <w:gridSpan w:val="2"/>
            <w:vMerge w:val="restart"/>
            <w:noWrap w:val="0"/>
            <w:vAlign w:val="center"/>
          </w:tcPr>
          <w:p>
            <w:pPr>
              <w:spacing w:line="360" w:lineRule="exac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《中华人民共和国社会保险法》第六十条</w:t>
            </w:r>
            <w:r>
              <w:rPr>
                <w:rFonts w:ascii="Times New Roman" w:hAnsi="Times New Roman" w:eastAsia="方正仿宋_GBK"/>
                <w:color w:val="auto"/>
                <w:kern w:val="0"/>
                <w:highlight w:val="none"/>
                <w:shd w:val="clear" w:color="auto" w:fill="FFFFFF"/>
              </w:rPr>
              <w:t xml:space="preserve"> 用人单位应当自行申报、按时足额缴纳社会保险费，非因不可抗力等法定事由不得缓缴、减免。职工应当缴纳的社会保险费由用人单位代扣代缴，用人单位应当按月将缴纳社会保险费的明细情况告知本人。</w:t>
            </w:r>
          </w:p>
          <w:p>
            <w:pPr>
              <w:spacing w:line="36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shd w:val="clear" w:color="auto" w:fill="FFFFFF"/>
              </w:rPr>
              <w:t>《中华人民共和国社会保险法》</w:t>
            </w:r>
            <w:r>
              <w:rPr>
                <w:rFonts w:ascii="Times New Roman" w:hAnsi="Times New Roman" w:eastAsia="方正仿宋_GBK"/>
                <w:b/>
                <w:bCs/>
                <w:color w:val="auto"/>
                <w:kern w:val="0"/>
                <w:highlight w:val="none"/>
                <w:shd w:val="clear" w:color="auto" w:fill="FFFFFF"/>
                <w:lang w:val="en-US"/>
              </w:rPr>
              <w:t>第八十六条</w:t>
            </w:r>
            <w:r>
              <w:rPr>
                <w:rFonts w:ascii="Times New Roman" w:hAnsi="Times New Roman" w:eastAsia="方正仿宋_GBK"/>
                <w:color w:val="auto"/>
                <w:kern w:val="0"/>
                <w:highlight w:val="none"/>
                <w:shd w:val="clear" w:color="auto" w:fill="FFFFFF"/>
                <w:lang w:val="en-US"/>
              </w:rPr>
              <w:t xml:space="preserve"> 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2775"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3815" w:type="dxa"/>
            <w:noWrap w:val="0"/>
            <w:vAlign w:val="center"/>
          </w:tcPr>
          <w:p>
            <w:pPr>
              <w:spacing w:line="360" w:lineRule="exact"/>
              <w:jc w:val="center"/>
              <w:rPr>
                <w:rFonts w:hint="eastAsia" w:ascii="Times New Roman" w:hAnsi="Times New Roman" w:eastAsia="方正仿宋_GBK"/>
                <w:color w:val="auto"/>
                <w:kern w:val="0"/>
                <w:highlight w:val="none"/>
                <w:shd w:val="clear" w:color="auto" w:fill="FFFFFF"/>
                <w:lang w:val="en-US" w:eastAsia="zh-CN"/>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28"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both"/>
              <w:rPr>
                <w:rFonts w:ascii="Times New Roman" w:hAnsi="Times New Roman" w:eastAsia="方正仿宋_GBK"/>
                <w:color w:val="auto"/>
                <w:kern w:val="0"/>
                <w:highlight w:val="none"/>
                <w:shd w:val="clear" w:color="auto" w:fill="FFFFFF"/>
                <w:lang w:val="en-US"/>
              </w:rPr>
            </w:pPr>
          </w:p>
        </w:tc>
        <w:tc>
          <w:tcPr>
            <w:tcW w:w="5414" w:type="dxa"/>
            <w:gridSpan w:val="2"/>
            <w:vMerge w:val="continue"/>
            <w:noWrap w:val="0"/>
            <w:vAlign w:val="center"/>
          </w:tcPr>
          <w:p>
            <w:pPr>
              <w:spacing w:line="360" w:lineRule="exact"/>
              <w:rPr>
                <w:rFonts w:ascii="Times New Roman" w:hAnsi="Times New Roman" w:eastAsia="方正仿宋_GBK"/>
                <w:b/>
                <w:bCs/>
                <w:color w:val="auto"/>
                <w:kern w:val="0"/>
                <w:highlight w:val="none"/>
                <w:shd w:val="clear" w:color="auto" w:fill="FFFFFF"/>
              </w:rPr>
            </w:pPr>
          </w:p>
        </w:tc>
        <w:tc>
          <w:tcPr>
            <w:tcW w:w="2775" w:type="dxa"/>
            <w:noWrap w:val="0"/>
            <w:vAlign w:val="center"/>
          </w:tcPr>
          <w:p>
            <w:pPr>
              <w:autoSpaceDE w:val="0"/>
              <w:spacing w:line="360" w:lineRule="exact"/>
              <w:rPr>
                <w:rFonts w:ascii="Times New Roman" w:hAnsi="Times New Roman" w:eastAsia="方正仿宋_GBK"/>
                <w:b/>
                <w:bCs/>
                <w:color w:val="auto"/>
                <w:kern w:val="0"/>
                <w:highlight w:val="none"/>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ascii="Times New Roman" w:hAnsi="Times New Roman" w:eastAsia="方正仿宋_GBK"/>
                <w:color w:val="auto"/>
                <w:kern w:val="0"/>
                <w:highlight w:val="none"/>
                <w:shd w:val="clear" w:color="auto" w:fill="FFFFFF"/>
                <w:lang w:val="en-US"/>
              </w:rPr>
            </w:pPr>
            <w:r>
              <w:rPr>
                <w:rFonts w:ascii="Times New Roman" w:hAnsi="Times New Roman" w:eastAsia="方正仿宋_GBK"/>
                <w:color w:val="auto"/>
                <w:kern w:val="0"/>
                <w:highlight w:val="none"/>
                <w:shd w:val="clear" w:color="auto" w:fill="FFFFFF"/>
                <w:lang w:val="en-US"/>
              </w:rPr>
              <w:t>处欠缴数额1倍以上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1.6倍以下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rPr>
              <w:t>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88"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both"/>
              <w:rPr>
                <w:rFonts w:ascii="Times New Roman" w:hAnsi="Times New Roman" w:eastAsia="方正仿宋_GBK"/>
                <w:color w:val="auto"/>
                <w:kern w:val="0"/>
                <w:highlight w:val="none"/>
                <w:shd w:val="clear" w:color="auto" w:fill="FFFFFF"/>
                <w:lang w:val="en-US"/>
              </w:rPr>
            </w:pPr>
          </w:p>
        </w:tc>
        <w:tc>
          <w:tcPr>
            <w:tcW w:w="5414" w:type="dxa"/>
            <w:gridSpan w:val="2"/>
            <w:vMerge w:val="continue"/>
            <w:noWrap w:val="0"/>
            <w:vAlign w:val="center"/>
          </w:tcPr>
          <w:p>
            <w:pPr>
              <w:spacing w:line="360" w:lineRule="exact"/>
              <w:rPr>
                <w:rFonts w:ascii="Times New Roman" w:hAnsi="Times New Roman" w:eastAsia="方正仿宋_GBK"/>
                <w:b/>
                <w:bCs/>
                <w:color w:val="auto"/>
                <w:kern w:val="0"/>
                <w:highlight w:val="none"/>
                <w:shd w:val="clear" w:color="auto" w:fill="FFFFFF"/>
              </w:rPr>
            </w:pPr>
          </w:p>
        </w:tc>
        <w:tc>
          <w:tcPr>
            <w:tcW w:w="2775" w:type="dxa"/>
            <w:noWrap w:val="0"/>
            <w:vAlign w:val="center"/>
          </w:tcPr>
          <w:p>
            <w:pPr>
              <w:autoSpaceDE w:val="0"/>
              <w:spacing w:line="360" w:lineRule="exact"/>
              <w:rPr>
                <w:rFonts w:hint="eastAsia" w:ascii="Times New Roman" w:hAnsi="Times New Roman" w:eastAsia="方正仿宋_GBK"/>
                <w:b/>
                <w:bCs/>
                <w:color w:val="auto"/>
                <w:kern w:val="0"/>
                <w:highlight w:val="none"/>
                <w:lang w:eastAsia="zh-CN"/>
              </w:rPr>
            </w:pPr>
            <w:r>
              <w:rPr>
                <w:rFonts w:hint="eastAsia" w:ascii="Times New Roman" w:hAnsi="Times New Roman" w:eastAsia="方正仿宋_GBK"/>
                <w:b/>
                <w:bCs/>
                <w:color w:val="auto"/>
                <w:kern w:val="0"/>
                <w:highlight w:val="none"/>
                <w:lang w:val="en-US" w:eastAsia="zh-CN"/>
              </w:rPr>
              <w:t>一般情形：</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ascii="Times New Roman" w:hAnsi="Times New Roman" w:eastAsia="方正仿宋_GBK"/>
                <w:color w:val="auto"/>
                <w:kern w:val="0"/>
                <w:highlight w:val="none"/>
                <w:shd w:val="clear" w:color="auto" w:fill="FFFFFF"/>
                <w:lang w:val="en-US"/>
              </w:rPr>
            </w:pPr>
            <w:r>
              <w:rPr>
                <w:rFonts w:ascii="Times New Roman" w:hAnsi="Times New Roman" w:eastAsia="方正仿宋_GBK"/>
                <w:color w:val="auto"/>
                <w:kern w:val="0"/>
                <w:highlight w:val="none"/>
                <w:shd w:val="clear" w:color="auto" w:fill="FFFFFF"/>
                <w:lang w:val="en-US"/>
              </w:rPr>
              <w:t>处欠缴数额1.6倍以上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2.4倍以下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rPr>
              <w:t>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428"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both"/>
              <w:rPr>
                <w:rFonts w:ascii="Times New Roman" w:hAnsi="Times New Roman" w:eastAsia="方正仿宋_GBK"/>
                <w:color w:val="auto"/>
                <w:kern w:val="0"/>
                <w:highlight w:val="none"/>
                <w:shd w:val="clear" w:color="auto" w:fill="FFFFFF"/>
                <w:lang w:val="en-US"/>
              </w:rPr>
            </w:pPr>
          </w:p>
        </w:tc>
        <w:tc>
          <w:tcPr>
            <w:tcW w:w="5414" w:type="dxa"/>
            <w:gridSpan w:val="2"/>
            <w:vMerge w:val="continue"/>
            <w:noWrap w:val="0"/>
            <w:vAlign w:val="center"/>
          </w:tcPr>
          <w:p>
            <w:pPr>
              <w:spacing w:line="360" w:lineRule="exact"/>
              <w:rPr>
                <w:rFonts w:ascii="Times New Roman" w:hAnsi="Times New Roman" w:eastAsia="方正仿宋_GBK"/>
                <w:b/>
                <w:bCs/>
                <w:color w:val="auto"/>
                <w:kern w:val="0"/>
                <w:highlight w:val="none"/>
                <w:shd w:val="clear" w:color="auto" w:fill="FFFFFF"/>
              </w:rPr>
            </w:pPr>
          </w:p>
        </w:tc>
        <w:tc>
          <w:tcPr>
            <w:tcW w:w="2775" w:type="dxa"/>
            <w:noWrap w:val="0"/>
            <w:vAlign w:val="center"/>
          </w:tcPr>
          <w:p>
            <w:pPr>
              <w:autoSpaceDE w:val="0"/>
              <w:spacing w:line="360" w:lineRule="exact"/>
              <w:rPr>
                <w:rFonts w:hint="eastAsia" w:ascii="Times New Roman" w:hAnsi="Times New Roman" w:eastAsia="方正仿宋_GBK"/>
                <w:b/>
                <w:bCs/>
                <w:color w:val="auto"/>
                <w:kern w:val="0"/>
                <w:highlight w:val="none"/>
                <w:lang w:val="en-US" w:eastAsia="zh-CN"/>
              </w:rPr>
            </w:pPr>
            <w:r>
              <w:rPr>
                <w:rFonts w:hint="eastAsia" w:ascii="Times New Roman" w:hAnsi="Times New Roman" w:eastAsia="方正仿宋_GBK"/>
                <w:b/>
                <w:bCs/>
                <w:color w:val="auto"/>
                <w:kern w:val="0"/>
                <w:highlight w:val="none"/>
                <w:lang w:val="en-US" w:eastAsia="zh-CN"/>
              </w:rPr>
              <w:t>从重情形：</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ascii="Times New Roman" w:hAnsi="Times New Roman" w:eastAsia="方正仿宋_GBK"/>
                <w:color w:val="auto"/>
                <w:kern w:val="0"/>
                <w:highlight w:val="none"/>
                <w:shd w:val="clear" w:color="auto" w:fill="FFFFFF"/>
                <w:lang w:val="en-US"/>
              </w:rPr>
            </w:pPr>
            <w:r>
              <w:rPr>
                <w:rFonts w:ascii="Times New Roman" w:hAnsi="Times New Roman" w:eastAsia="方正仿宋_GBK"/>
                <w:color w:val="auto"/>
                <w:kern w:val="0"/>
                <w:highlight w:val="none"/>
                <w:shd w:val="clear" w:color="auto" w:fill="FFFFFF"/>
                <w:lang w:val="en-US"/>
              </w:rPr>
              <w:t>处欠缴数额2.4倍以上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3倍以下</w:t>
            </w:r>
            <w:r>
              <w:rPr>
                <w:rFonts w:ascii="Times New Roman" w:hAnsi="Times New Roman" w:eastAsia="方正仿宋_GBK"/>
                <w:color w:val="auto"/>
                <w:kern w:val="0"/>
                <w:highlight w:val="none"/>
                <w:shd w:val="clear" w:color="auto" w:fill="FFFFFF"/>
              </w:rPr>
              <w:t>罚款</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363" w:hRule="atLeast"/>
          <w:jc w:val="center"/>
        </w:trPr>
        <w:tc>
          <w:tcPr>
            <w:tcW w:w="672" w:type="dxa"/>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3</w:t>
            </w:r>
          </w:p>
        </w:tc>
        <w:tc>
          <w:tcPr>
            <w:tcW w:w="1668" w:type="dxa"/>
            <w:noWrap w:val="0"/>
            <w:vAlign w:val="center"/>
          </w:tcPr>
          <w:p>
            <w:pPr>
              <w:spacing w:line="360" w:lineRule="exact"/>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缴费单位未按规定缴纳和代扣代缴医疗保险和生育保险</w:t>
            </w:r>
            <w:r>
              <w:rPr>
                <w:rFonts w:ascii="Times New Roman" w:hAnsi="Times New Roman" w:eastAsia="方正仿宋_GBK"/>
                <w:color w:val="auto"/>
                <w:kern w:val="0"/>
                <w:highlight w:val="none"/>
                <w:lang w:val="en-US"/>
              </w:rPr>
              <w:t>的</w:t>
            </w:r>
          </w:p>
        </w:tc>
        <w:tc>
          <w:tcPr>
            <w:tcW w:w="5414" w:type="dxa"/>
            <w:gridSpan w:val="2"/>
            <w:noWrap w:val="0"/>
            <w:vAlign w:val="center"/>
          </w:tcPr>
          <w:p>
            <w:pPr>
              <w:widowControl/>
              <w:spacing w:line="36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rPr>
              <w:t>《社会保险费征缴暂行条例》</w:t>
            </w:r>
            <w:r>
              <w:rPr>
                <w:rFonts w:ascii="Times New Roman" w:hAnsi="Times New Roman" w:eastAsia="方正仿宋_GBK"/>
                <w:b/>
                <w:bCs/>
                <w:color w:val="auto"/>
                <w:kern w:val="0"/>
                <w:highlight w:val="none"/>
                <w:lang w:val="en-US"/>
              </w:rPr>
              <w:t>第十三条</w:t>
            </w:r>
            <w:r>
              <w:rPr>
                <w:rFonts w:ascii="Times New Roman" w:hAnsi="Times New Roman" w:eastAsia="方正仿宋_GBK"/>
                <w:color w:val="auto"/>
                <w:kern w:val="0"/>
                <w:highlight w:val="none"/>
                <w:lang w:val="en-US"/>
              </w:rPr>
              <w:t xml:space="preserve"> </w:t>
            </w:r>
            <w:r>
              <w:rPr>
                <w:rFonts w:ascii="Times New Roman" w:hAnsi="Times New Roman" w:eastAsia="方正仿宋_GBK"/>
                <w:color w:val="auto"/>
                <w:kern w:val="0"/>
                <w:highlight w:val="none"/>
              </w:rPr>
              <w:t>缴费单位未按规定缴纳和代扣代缴社会保险费的，由劳动保险行政部门或者税务机关责令限期缴纳；逾期仍不缴纳的，除补缴欠缴数额外，从欠缴之日起，按日加收千分之二的滞纳金。滞纳金并入社会保险基金。</w:t>
            </w:r>
          </w:p>
        </w:tc>
        <w:tc>
          <w:tcPr>
            <w:tcW w:w="6590" w:type="dxa"/>
            <w:gridSpan w:val="2"/>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lang w:val="en-US"/>
              </w:rPr>
              <w:t>此违法行为不划分裁量阶次，由</w:t>
            </w:r>
            <w:r>
              <w:rPr>
                <w:rFonts w:ascii="Times New Roman" w:hAnsi="Times New Roman" w:eastAsia="方正仿宋_GBK"/>
                <w:color w:val="auto"/>
                <w:kern w:val="0"/>
                <w:highlight w:val="none"/>
              </w:rPr>
              <w:t>医疗保障行政部门责令限期缴纳</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626" w:hRule="atLeast"/>
          <w:jc w:val="center"/>
        </w:trPr>
        <w:tc>
          <w:tcPr>
            <w:tcW w:w="672"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4</w:t>
            </w:r>
          </w:p>
        </w:tc>
        <w:tc>
          <w:tcPr>
            <w:tcW w:w="1668" w:type="dxa"/>
            <w:vMerge w:val="restart"/>
            <w:noWrap w:val="0"/>
            <w:vAlign w:val="center"/>
          </w:tcPr>
          <w:p>
            <w:pPr>
              <w:spacing w:line="360" w:lineRule="exact"/>
              <w:jc w:val="both"/>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lang w:val="en-US"/>
              </w:rPr>
              <w:t>缴费单位未按规定办理</w:t>
            </w:r>
            <w:r>
              <w:rPr>
                <w:rFonts w:ascii="Times New Roman" w:hAnsi="Times New Roman" w:eastAsia="方正仿宋_GBK"/>
                <w:color w:val="auto"/>
                <w:kern w:val="0"/>
                <w:highlight w:val="none"/>
              </w:rPr>
              <w:t>医疗保险和生育保险</w:t>
            </w:r>
            <w:r>
              <w:rPr>
                <w:rFonts w:ascii="Times New Roman" w:hAnsi="Times New Roman" w:eastAsia="方正仿宋_GBK"/>
                <w:color w:val="auto"/>
                <w:kern w:val="0"/>
                <w:highlight w:val="none"/>
                <w:lang w:val="en-US"/>
              </w:rPr>
              <w:t>登记、</w:t>
            </w:r>
            <w:r>
              <w:rPr>
                <w:rFonts w:ascii="Times New Roman" w:hAnsi="Times New Roman" w:eastAsia="方正仿宋_GBK"/>
                <w:color w:val="auto"/>
                <w:kern w:val="0"/>
                <w:highlight w:val="none"/>
              </w:rPr>
              <w:t>变更登记或者注销登记，或者未按照规定申报应缴纳的医疗保险和生育保险费数额的</w:t>
            </w:r>
          </w:p>
        </w:tc>
        <w:tc>
          <w:tcPr>
            <w:tcW w:w="5414" w:type="dxa"/>
            <w:gridSpan w:val="2"/>
            <w:vMerge w:val="restart"/>
            <w:noWrap w:val="0"/>
            <w:vAlign w:val="center"/>
          </w:tcPr>
          <w:p>
            <w:pPr>
              <w:widowControl/>
              <w:spacing w:line="36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rPr>
              <w:t>《社会保险费征缴暂行条例》第二十三条</w:t>
            </w:r>
            <w:r>
              <w:rPr>
                <w:rFonts w:ascii="Times New Roman" w:hAnsi="Times New Roman" w:eastAsia="方正仿宋_GBK"/>
                <w:color w:val="auto"/>
                <w:kern w:val="0"/>
                <w:highlight w:val="none"/>
              </w:rPr>
              <w:t xml:space="preserve"> 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p>
        </w:tc>
        <w:tc>
          <w:tcPr>
            <w:tcW w:w="2775"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3815" w:type="dxa"/>
            <w:noWrap w:val="0"/>
            <w:vAlign w:val="center"/>
          </w:tcPr>
          <w:p>
            <w:pPr>
              <w:spacing w:line="360" w:lineRule="exact"/>
              <w:jc w:val="center"/>
              <w:rPr>
                <w:rFonts w:ascii="Times New Roman" w:hAnsi="Times New Roman" w:eastAsia="方正仿宋_GBK"/>
                <w:color w:val="auto"/>
                <w:highlight w:val="none"/>
                <w:lang w:val="en-US"/>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866"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both"/>
              <w:rPr>
                <w:rFonts w:ascii="Times New Roman" w:hAnsi="Times New Roman" w:eastAsia="方正仿宋_GBK"/>
                <w:color w:val="auto"/>
                <w:highlight w:val="none"/>
                <w:lang w:val="en-US"/>
              </w:rPr>
            </w:pPr>
          </w:p>
        </w:tc>
        <w:tc>
          <w:tcPr>
            <w:tcW w:w="5414" w:type="dxa"/>
            <w:gridSpan w:val="2"/>
            <w:vMerge w:val="continue"/>
            <w:noWrap w:val="0"/>
            <w:vAlign w:val="center"/>
          </w:tcPr>
          <w:p>
            <w:pPr>
              <w:widowControl/>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hint="eastAsia" w:ascii="Times New Roman" w:hAnsi="Times New Roman" w:eastAsia="方正仿宋_GBK"/>
                <w:color w:val="auto"/>
                <w:kern w:val="0"/>
                <w:highlight w:val="none"/>
                <w:lang w:val="en-US" w:eastAsia="zh-CN"/>
              </w:rPr>
            </w:pPr>
            <w:r>
              <w:rPr>
                <w:rFonts w:hint="eastAsia" w:ascii="Times New Roman" w:hAnsi="Times New Roman" w:eastAsia="方正仿宋_GBK"/>
                <w:b/>
                <w:bCs/>
                <w:color w:val="auto"/>
                <w:kern w:val="0"/>
                <w:highlight w:val="none"/>
                <w:lang w:val="en-US" w:eastAsia="zh-CN"/>
              </w:rPr>
              <w:t>从轻情形：</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highlight w:val="none"/>
                <w:lang w:val="en-US"/>
              </w:rPr>
              <w:t>责令限期改正</w:t>
            </w:r>
            <w:r>
              <w:rPr>
                <w:rFonts w:hint="eastAsia" w:ascii="Times New Roman" w:hAnsi="Times New Roman" w:eastAsia="方正仿宋_GBK"/>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108"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hint="eastAsia" w:ascii="Times New Roman" w:hAnsi="Times New Roman" w:eastAsia="方正仿宋_GBK"/>
                <w:b/>
                <w:bCs/>
                <w:color w:val="auto"/>
                <w:kern w:val="0"/>
                <w:highlight w:val="none"/>
                <w:lang w:val="en-US" w:eastAsia="zh-CN"/>
              </w:rPr>
              <w:t>一般情形：</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highlight w:val="none"/>
                <w:lang w:val="en-US"/>
              </w:rPr>
              <w:t>责令限期改正，情节严重的，对直接负责的主管人员和其他直接责任人员可以处一千元以上</w:t>
            </w:r>
            <w:r>
              <w:rPr>
                <w:rFonts w:hint="eastAsia" w:ascii="Times New Roman" w:hAnsi="Times New Roman" w:eastAsia="方正仿宋_GBK"/>
                <w:color w:val="auto"/>
                <w:highlight w:val="none"/>
                <w:lang w:val="en-US"/>
              </w:rPr>
              <w:t>（含本数）</w:t>
            </w:r>
            <w:r>
              <w:rPr>
                <w:rFonts w:ascii="Times New Roman" w:hAnsi="Times New Roman" w:eastAsia="方正仿宋_GBK"/>
                <w:color w:val="auto"/>
                <w:highlight w:val="none"/>
                <w:lang w:val="en-US"/>
              </w:rPr>
              <w:t>五千元以下</w:t>
            </w:r>
            <w:r>
              <w:rPr>
                <w:rFonts w:hint="eastAsia" w:ascii="Times New Roman" w:hAnsi="Times New Roman" w:eastAsia="方正仿宋_GBK"/>
                <w:color w:val="auto"/>
                <w:highlight w:val="none"/>
                <w:lang w:val="en-US"/>
              </w:rPr>
              <w:t>（含本数）</w:t>
            </w:r>
            <w:r>
              <w:rPr>
                <w:rFonts w:ascii="Times New Roman" w:hAnsi="Times New Roman" w:eastAsia="方正仿宋_GBK"/>
                <w:color w:val="auto"/>
                <w:highlight w:val="none"/>
                <w:lang w:val="en-US"/>
              </w:rPr>
              <w:t>的罚款</w:t>
            </w:r>
            <w:r>
              <w:rPr>
                <w:rFonts w:hint="eastAsia" w:ascii="Times New Roman" w:hAnsi="Times New Roman" w:eastAsia="方正仿宋_GBK"/>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200"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highlight w:val="none"/>
                <w:lang w:val="en-US"/>
              </w:rPr>
              <w:t>责令限期改正，情节特别严重的，对直接负责的主管人员和其他直接责任人员可以处五千元以上</w:t>
            </w:r>
            <w:r>
              <w:rPr>
                <w:rFonts w:hint="eastAsia" w:ascii="Times New Roman" w:hAnsi="Times New Roman" w:eastAsia="方正仿宋_GBK"/>
                <w:color w:val="auto"/>
                <w:highlight w:val="none"/>
                <w:lang w:val="en-US"/>
              </w:rPr>
              <w:t>（含本数）</w:t>
            </w:r>
            <w:r>
              <w:rPr>
                <w:rFonts w:ascii="Times New Roman" w:hAnsi="Times New Roman" w:eastAsia="方正仿宋_GBK"/>
                <w:color w:val="auto"/>
                <w:highlight w:val="none"/>
                <w:lang w:val="en-US"/>
              </w:rPr>
              <w:t>一万元以下</w:t>
            </w:r>
            <w:r>
              <w:rPr>
                <w:rFonts w:hint="eastAsia" w:ascii="Times New Roman" w:hAnsi="Times New Roman" w:eastAsia="方正仿宋_GBK"/>
                <w:color w:val="auto"/>
                <w:highlight w:val="none"/>
                <w:lang w:val="en-US"/>
              </w:rPr>
              <w:t>（含本数）</w:t>
            </w:r>
            <w:r>
              <w:rPr>
                <w:rFonts w:ascii="Times New Roman" w:hAnsi="Times New Roman" w:eastAsia="方正仿宋_GBK"/>
                <w:color w:val="auto"/>
                <w:highlight w:val="none"/>
                <w:lang w:val="en-US"/>
              </w:rPr>
              <w:t>的罚款</w:t>
            </w:r>
            <w:r>
              <w:rPr>
                <w:rFonts w:hint="eastAsia" w:ascii="Times New Roman" w:hAnsi="Times New Roman" w:eastAsia="方正仿宋_GBK"/>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0" w:hRule="atLeast"/>
          <w:jc w:val="center"/>
        </w:trPr>
        <w:tc>
          <w:tcPr>
            <w:tcW w:w="672" w:type="dxa"/>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5</w:t>
            </w:r>
          </w:p>
        </w:tc>
        <w:tc>
          <w:tcPr>
            <w:tcW w:w="1668" w:type="dxa"/>
            <w:noWrap w:val="0"/>
            <w:vAlign w:val="center"/>
          </w:tcPr>
          <w:p>
            <w:pPr>
              <w:spacing w:line="360" w:lineRule="exact"/>
              <w:jc w:val="both"/>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违反规定，</w:t>
            </w:r>
            <w:r>
              <w:rPr>
                <w:rFonts w:hint="eastAsia" w:ascii="Times New Roman" w:hAnsi="Times New Roman" w:eastAsia="方正仿宋_GBK"/>
                <w:color w:val="auto"/>
                <w:kern w:val="0"/>
                <w:highlight w:val="none"/>
                <w:lang w:val="en-US" w:eastAsia="zh-CN"/>
              </w:rPr>
              <w:t xml:space="preserve"> </w:t>
            </w:r>
            <w:r>
              <w:rPr>
                <w:rFonts w:ascii="Times New Roman" w:hAnsi="Times New Roman" w:eastAsia="方正仿宋_GBK"/>
                <w:color w:val="auto"/>
                <w:kern w:val="0"/>
                <w:highlight w:val="none"/>
              </w:rPr>
              <w:t>隐匿、转移、侵占、挪用</w:t>
            </w:r>
            <w:r>
              <w:rPr>
                <w:rFonts w:hint="eastAsia" w:ascii="Times New Roman" w:hAnsi="Times New Roman" w:eastAsia="方正仿宋_GBK"/>
                <w:color w:val="auto"/>
                <w:kern w:val="0"/>
                <w:highlight w:val="none"/>
                <w:lang w:val="en-US" w:eastAsia="zh-CN"/>
              </w:rPr>
              <w:t xml:space="preserve"> </w:t>
            </w:r>
            <w:r>
              <w:rPr>
                <w:rFonts w:ascii="Times New Roman" w:hAnsi="Times New Roman" w:eastAsia="方正仿宋_GBK"/>
                <w:color w:val="auto"/>
                <w:kern w:val="0"/>
                <w:highlight w:val="none"/>
                <w:lang w:val="en-US"/>
              </w:rPr>
              <w:t>医疗</w:t>
            </w:r>
            <w:r>
              <w:rPr>
                <w:rFonts w:ascii="Times New Roman" w:hAnsi="Times New Roman" w:eastAsia="方正仿宋_GBK"/>
                <w:color w:val="auto"/>
                <w:kern w:val="0"/>
                <w:highlight w:val="none"/>
              </w:rPr>
              <w:t>保险基金</w:t>
            </w:r>
            <w:r>
              <w:rPr>
                <w:rFonts w:ascii="Times New Roman" w:hAnsi="Times New Roman" w:eastAsia="方正仿宋_GBK"/>
                <w:color w:val="auto"/>
                <w:kern w:val="0"/>
                <w:highlight w:val="none"/>
                <w:lang w:val="en-US"/>
              </w:rPr>
              <w:t>和生育保险基金</w:t>
            </w:r>
            <w:r>
              <w:rPr>
                <w:rFonts w:ascii="Times New Roman" w:hAnsi="Times New Roman" w:eastAsia="方正仿宋_GBK"/>
                <w:color w:val="auto"/>
                <w:kern w:val="0"/>
                <w:highlight w:val="none"/>
              </w:rPr>
              <w:t>或者违规投资运营的</w:t>
            </w:r>
          </w:p>
        </w:tc>
        <w:tc>
          <w:tcPr>
            <w:tcW w:w="5414" w:type="dxa"/>
            <w:gridSpan w:val="2"/>
            <w:noWrap w:val="0"/>
            <w:vAlign w:val="center"/>
          </w:tcPr>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shd w:val="clear" w:color="auto" w:fill="FFFFFF"/>
              </w:rPr>
              <w:t>《中华人民共和国社会保险法》</w:t>
            </w:r>
            <w:r>
              <w:rPr>
                <w:rFonts w:ascii="Times New Roman" w:hAnsi="Times New Roman" w:eastAsia="方正仿宋_GBK"/>
                <w:b/>
                <w:bCs/>
                <w:color w:val="auto"/>
                <w:kern w:val="0"/>
                <w:highlight w:val="none"/>
              </w:rPr>
              <w:t>第九十一条</w:t>
            </w:r>
            <w:r>
              <w:rPr>
                <w:rFonts w:ascii="Times New Roman" w:hAnsi="Times New Roman" w:eastAsia="方正仿宋_GBK"/>
                <w:color w:val="auto"/>
                <w:kern w:val="0"/>
                <w:highlight w:val="none"/>
              </w:rPr>
              <w:t xml:space="preserve"> 违反本法规定，隐匿、转移、侵占、挪用社会保险基金或者违规投资运营的，由社会保险行政部门、财政部门、审计机关责令追回；有违法所得的，没收违法所得；对直接负责的主管人员和其他直接责任人员依法给予处分。</w:t>
            </w:r>
            <w:r>
              <w:rPr>
                <w:rStyle w:val="10"/>
                <w:rFonts w:ascii="Times New Roman" w:hAnsi="Times New Roman" w:eastAsia="方正仿宋_GBK"/>
                <w:color w:val="auto"/>
                <w:kern w:val="0"/>
                <w:highlight w:val="none"/>
              </w:rPr>
              <w:footnoteReference w:id="0"/>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《社会保险费征缴暂行条例》第四条</w:t>
            </w:r>
            <w:r>
              <w:rPr>
                <w:rFonts w:ascii="Times New Roman" w:hAnsi="Times New Roman" w:eastAsia="方正仿宋_GBK"/>
                <w:color w:val="auto"/>
                <w:kern w:val="0"/>
                <w:highlight w:val="none"/>
              </w:rPr>
              <w:t xml:space="preserve"> 缴费单位、缴费个人应当按时足额缴纳社会保险费。征缴的社会保险费纳入社会保险基金，专款专用，任何单位和个人不得挪用。</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《医疗保障基金使用监督管理条例》第四十四条</w:t>
            </w:r>
            <w:r>
              <w:rPr>
                <w:rFonts w:ascii="Times New Roman" w:hAnsi="Times New Roman" w:eastAsia="方正仿宋_GBK"/>
                <w:color w:val="auto"/>
                <w:kern w:val="0"/>
                <w:highlight w:val="none"/>
              </w:rPr>
              <w:t xml:space="preserve"> 违反本条例规定，侵占、挪用医疗保障基金的，由医疗保障等行政部门责令追回；有违法所得的，没收违法所得；对直接负责的主管人员和其他直接责任人员依法给予处分。</w:t>
            </w:r>
            <w:r>
              <w:rPr>
                <w:rStyle w:val="10"/>
                <w:rFonts w:ascii="Times New Roman" w:hAnsi="Times New Roman" w:eastAsia="方正仿宋_GBK"/>
                <w:color w:val="auto"/>
                <w:kern w:val="0"/>
                <w:highlight w:val="none"/>
              </w:rPr>
              <w:footnoteReference w:id="1"/>
            </w:r>
          </w:p>
          <w:p>
            <w:pPr>
              <w:spacing w:line="36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rPr>
              <w:t>《医疗保障基金使用监督管理条例》第四十五条</w:t>
            </w:r>
            <w:r>
              <w:rPr>
                <w:rFonts w:ascii="Times New Roman" w:hAnsi="Times New Roman" w:eastAsia="方正仿宋_GBK"/>
                <w:color w:val="auto"/>
                <w:kern w:val="0"/>
                <w:highlight w:val="none"/>
              </w:rPr>
              <w:t xml:space="preserve"> 退回的基金退回原医疗保障基金财政专户；罚款、没收的违法所得依法上缴国库。</w:t>
            </w:r>
          </w:p>
        </w:tc>
        <w:tc>
          <w:tcPr>
            <w:tcW w:w="6598" w:type="dxa"/>
            <w:gridSpan w:val="3"/>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lang w:val="en-US"/>
              </w:rPr>
              <w:t>此违法行为不划分裁量阶次，责令追回医保基金，没收违法所得</w:t>
            </w: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56" w:hRule="atLeast"/>
          <w:jc w:val="center"/>
        </w:trPr>
        <w:tc>
          <w:tcPr>
            <w:tcW w:w="672"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6</w:t>
            </w:r>
          </w:p>
        </w:tc>
        <w:tc>
          <w:tcPr>
            <w:tcW w:w="1668" w:type="dxa"/>
            <w:vMerge w:val="restart"/>
            <w:noWrap w:val="0"/>
            <w:vAlign w:val="center"/>
          </w:tcPr>
          <w:p>
            <w:pPr>
              <w:spacing w:line="360" w:lineRule="exact"/>
              <w:jc w:val="both"/>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社会保险经办机构、医疗机构、药品经营单位等社会保险服务机构以欺诈、伪造证明材料或者其他手段骗取医疗保障基金支出的</w:t>
            </w:r>
          </w:p>
        </w:tc>
        <w:tc>
          <w:tcPr>
            <w:tcW w:w="5414" w:type="dxa"/>
            <w:gridSpan w:val="2"/>
            <w:vMerge w:val="restart"/>
            <w:noWrap w:val="0"/>
            <w:vAlign w:val="top"/>
          </w:tcPr>
          <w:p>
            <w:pPr>
              <w:spacing w:line="360" w:lineRule="exac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w:t>
            </w:r>
            <w:r>
              <w:rPr>
                <w:rFonts w:ascii="Times New Roman" w:hAnsi="Times New Roman" w:eastAsia="方正仿宋_GBK"/>
                <w:b/>
                <w:bCs/>
                <w:color w:val="auto"/>
                <w:kern w:val="0"/>
                <w:highlight w:val="none"/>
                <w:shd w:val="clear" w:color="auto" w:fill="FFFFFF"/>
                <w:lang w:val="en-US"/>
              </w:rPr>
              <w:t>中华人民共和国</w:t>
            </w:r>
            <w:r>
              <w:rPr>
                <w:rFonts w:ascii="Times New Roman" w:hAnsi="Times New Roman" w:eastAsia="方正仿宋_GBK"/>
                <w:b/>
                <w:bCs/>
                <w:color w:val="auto"/>
                <w:kern w:val="0"/>
                <w:highlight w:val="none"/>
                <w:shd w:val="clear" w:color="auto" w:fill="FFFFFF"/>
              </w:rPr>
              <w:t>社会保险法》第六十四条第一款、第二款</w:t>
            </w:r>
            <w:r>
              <w:rPr>
                <w:rFonts w:ascii="Times New Roman" w:hAnsi="Times New Roman" w:eastAsia="方正仿宋_GBK"/>
                <w:color w:val="auto"/>
                <w:kern w:val="0"/>
                <w:highlight w:val="none"/>
                <w:shd w:val="clear" w:color="auto" w:fill="FFFFFF"/>
              </w:rPr>
              <w:t xml:space="preserve"> 社会保险基金包括基本养老保险基金、基本医疗保险基金、工伤保险基金、失业保险基金和生育保险基金。社会保险基金专款专用，任何组织和个人不得侵占或者挪用。</w:t>
            </w:r>
          </w:p>
          <w:p>
            <w:pPr>
              <w:spacing w:line="360" w:lineRule="exac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《中华人民共和国社会保险法》第八十七条</w:t>
            </w:r>
            <w:r>
              <w:rPr>
                <w:rFonts w:ascii="Times New Roman" w:hAnsi="Times New Roman" w:eastAsia="方正仿宋_GBK"/>
                <w:color w:val="auto"/>
                <w:kern w:val="0"/>
                <w:highlight w:val="none"/>
                <w:shd w:val="clear" w:color="auto" w:fill="FFFFFF"/>
              </w:rPr>
              <w:t xml:space="preserve">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spacing w:line="360" w:lineRule="exac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《实施</w:t>
            </w:r>
            <w:r>
              <w:rPr>
                <w:rFonts w:hint="eastAsia" w:ascii="方正仿宋_GBK" w:hAnsi="方正仿宋_GBK" w:eastAsia="方正仿宋_GBK" w:cs="方正仿宋_GBK"/>
                <w:b/>
                <w:bCs/>
                <w:color w:val="auto"/>
                <w:kern w:val="0"/>
                <w:highlight w:val="none"/>
                <w:shd w:val="clear" w:color="auto" w:fill="FFFFFF"/>
              </w:rPr>
              <w:t>〈</w:t>
            </w:r>
            <w:r>
              <w:rPr>
                <w:rFonts w:ascii="Times New Roman" w:hAnsi="Times New Roman" w:eastAsia="方正仿宋_GBK"/>
                <w:b/>
                <w:bCs/>
                <w:color w:val="auto"/>
                <w:kern w:val="0"/>
                <w:highlight w:val="none"/>
                <w:shd w:val="clear" w:color="auto" w:fill="FFFFFF"/>
              </w:rPr>
              <w:t>中华人民共和国社会保险法</w:t>
            </w:r>
            <w:r>
              <w:rPr>
                <w:rFonts w:hint="eastAsia" w:ascii="方正仿宋_GBK" w:hAnsi="方正仿宋_GBK" w:eastAsia="方正仿宋_GBK" w:cs="方正仿宋_GBK"/>
                <w:b/>
                <w:bCs/>
                <w:color w:val="auto"/>
                <w:kern w:val="0"/>
                <w:highlight w:val="none"/>
                <w:shd w:val="clear" w:color="auto" w:fill="FFFFFF"/>
              </w:rPr>
              <w:t>〉</w:t>
            </w:r>
            <w:r>
              <w:rPr>
                <w:rFonts w:ascii="Times New Roman" w:hAnsi="Times New Roman" w:eastAsia="方正仿宋_GBK"/>
                <w:b/>
                <w:bCs/>
                <w:color w:val="auto"/>
                <w:kern w:val="0"/>
                <w:highlight w:val="none"/>
                <w:shd w:val="clear" w:color="auto" w:fill="FFFFFF"/>
              </w:rPr>
              <w:t>若干规定》第二十五条</w:t>
            </w:r>
            <w:r>
              <w:rPr>
                <w:rFonts w:hint="eastAsia" w:ascii="Times New Roman" w:hAnsi="Times New Roman" w:eastAsia="方正仿宋_GBK"/>
                <w:color w:val="auto"/>
                <w:kern w:val="0"/>
                <w:highlight w:val="none"/>
                <w:shd w:val="clear" w:color="auto" w:fill="FFFFFF"/>
                <w:lang w:val="en-US"/>
              </w:rPr>
              <w:t xml:space="preserve"> </w:t>
            </w:r>
            <w:r>
              <w:rPr>
                <w:rFonts w:ascii="Times New Roman" w:hAnsi="Times New Roman" w:eastAsia="方正仿宋_GBK"/>
                <w:color w:val="auto"/>
                <w:kern w:val="0"/>
                <w:highlight w:val="none"/>
                <w:shd w:val="clear" w:color="auto" w:fill="FFFFFF"/>
              </w:rPr>
              <w:t>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pPr>
              <w:spacing w:line="360" w:lineRule="exac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《医疗保障基金使用监督管理条例》第三十七条</w:t>
            </w:r>
            <w:r>
              <w:rPr>
                <w:rFonts w:ascii="Times New Roman" w:hAnsi="Times New Roman" w:eastAsia="方正仿宋_GBK"/>
                <w:color w:val="auto"/>
                <w:kern w:val="0"/>
                <w:highlight w:val="none"/>
                <w:shd w:val="clear" w:color="auto" w:fill="FFFFFF"/>
              </w:rPr>
              <w:t xml:space="preserve">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r>
              <w:rPr>
                <w:rStyle w:val="10"/>
                <w:rFonts w:ascii="Times New Roman" w:hAnsi="Times New Roman" w:eastAsia="方正仿宋_GBK"/>
                <w:color w:val="auto"/>
                <w:kern w:val="0"/>
                <w:highlight w:val="none"/>
                <w:shd w:val="clear" w:color="auto" w:fill="FFFFFF"/>
              </w:rPr>
              <w:footnoteReference w:id="2"/>
            </w:r>
          </w:p>
          <w:p>
            <w:pPr>
              <w:spacing w:line="36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shd w:val="clear" w:color="auto" w:fill="FFFFFF"/>
              </w:rPr>
              <w:t>《医疗保障基金使用监督管理条例》第四十条</w:t>
            </w:r>
            <w:r>
              <w:rPr>
                <w:rFonts w:ascii="Times New Roman" w:hAnsi="Times New Roman" w:eastAsia="方正仿宋_GBK"/>
                <w:color w:val="auto"/>
                <w:kern w:val="0"/>
                <w:highlight w:val="none"/>
                <w:shd w:val="clear" w:color="auto" w:fill="FFFFFF"/>
              </w:rPr>
              <w:t xml:space="preserve">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w:t>
            </w:r>
            <w:r>
              <w:rPr>
                <w:rStyle w:val="10"/>
                <w:rFonts w:ascii="Times New Roman" w:hAnsi="Times New Roman" w:eastAsia="方正仿宋_GBK"/>
                <w:color w:val="auto"/>
                <w:kern w:val="0"/>
                <w:highlight w:val="none"/>
                <w:shd w:val="clear" w:color="auto" w:fill="FFFFFF"/>
              </w:rPr>
              <w:footnoteReference w:id="3"/>
            </w:r>
            <w:r>
              <w:rPr>
                <w:rFonts w:ascii="Times New Roman" w:hAnsi="Times New Roman" w:eastAsia="方正仿宋_GBK"/>
                <w:color w:val="auto"/>
                <w:kern w:val="0"/>
                <w:highlight w:val="none"/>
                <w:shd w:val="clear" w:color="auto" w:fill="FFFFFF"/>
              </w:rPr>
              <w:t>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w:t>
            </w:r>
            <w:r>
              <w:rPr>
                <w:rFonts w:ascii="Times New Roman" w:hAnsi="Times New Roman" w:eastAsia="方正仿宋_GBK"/>
                <w:color w:val="auto"/>
                <w:kern w:val="0"/>
                <w:highlight w:val="none"/>
                <w:shd w:val="clear" w:color="auto" w:fill="FFFFFF"/>
                <w:lang w:val="en-US"/>
              </w:rPr>
              <w:t>处理。</w:t>
            </w:r>
          </w:p>
        </w:tc>
        <w:tc>
          <w:tcPr>
            <w:tcW w:w="2775"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3815" w:type="dxa"/>
            <w:noWrap w:val="0"/>
            <w:vAlign w:val="center"/>
          </w:tcPr>
          <w:p>
            <w:pPr>
              <w:spacing w:line="360" w:lineRule="exact"/>
              <w:jc w:val="center"/>
              <w:rPr>
                <w:rFonts w:ascii="Times New Roman" w:hAnsi="Times New Roman" w:eastAsia="方正仿宋_GBK"/>
                <w:color w:val="auto"/>
                <w:kern w:val="0"/>
                <w:highlight w:val="none"/>
                <w:shd w:val="clear" w:color="auto" w:fill="FFFFFF"/>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156"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both"/>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kern w:val="0"/>
                <w:highlight w:val="none"/>
                <w:lang w:val="en-US" w:eastAsia="zh-CN"/>
              </w:rPr>
            </w:pPr>
            <w:r>
              <w:rPr>
                <w:rFonts w:ascii="Times New Roman" w:hAnsi="Times New Roman" w:eastAsia="方正仿宋_GBK"/>
                <w:color w:val="auto"/>
                <w:kern w:val="0"/>
                <w:highlight w:val="none"/>
                <w:shd w:val="clear" w:color="auto" w:fill="FFFFFF"/>
              </w:rPr>
              <w:t>责令退回骗取的社会保险金，处骗取金额</w:t>
            </w:r>
            <w:r>
              <w:rPr>
                <w:rFonts w:ascii="Times New Roman" w:hAnsi="Times New Roman" w:eastAsia="方正仿宋_GBK"/>
                <w:color w:val="auto"/>
                <w:kern w:val="0"/>
                <w:highlight w:val="none"/>
                <w:shd w:val="clear" w:color="auto" w:fill="FFFFFF"/>
                <w:lang w:val="en-US"/>
              </w:rPr>
              <w:t>2倍以上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2.9倍以下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rPr>
              <w:t>罚款；</w:t>
            </w:r>
            <w:r>
              <w:rPr>
                <w:rFonts w:ascii="Times New Roman" w:hAnsi="Times New Roman" w:eastAsia="方正仿宋_GBK"/>
                <w:color w:val="auto"/>
                <w:kern w:val="0"/>
                <w:highlight w:val="none"/>
                <w:shd w:val="clear" w:color="auto" w:fill="FFFFFF"/>
                <w:lang w:val="en-US"/>
              </w:rPr>
              <w:t>定点医药机构违反本条规定的，责令定点医药机构暂停相关责任部门6个月以上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8个月以下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lang w:val="en-US"/>
              </w:rPr>
              <w:t>医疗保障基金使用的医药服务</w:t>
            </w: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396"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一般情形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shd w:val="clear" w:color="auto" w:fill="FFFFFF"/>
              </w:rPr>
              <w:t>责令退回骗取的社会保险金，处骗取金额</w:t>
            </w:r>
            <w:r>
              <w:rPr>
                <w:rFonts w:ascii="Times New Roman" w:hAnsi="Times New Roman" w:eastAsia="方正仿宋_GBK"/>
                <w:color w:val="auto"/>
                <w:kern w:val="0"/>
                <w:highlight w:val="none"/>
                <w:shd w:val="clear" w:color="auto" w:fill="FFFFFF"/>
                <w:lang w:val="en-US"/>
              </w:rPr>
              <w:t>2.9倍</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rPr>
              <w:t>以上</w:t>
            </w:r>
            <w:r>
              <w:rPr>
                <w:rFonts w:ascii="Times New Roman" w:hAnsi="Times New Roman" w:eastAsia="方正仿宋_GBK"/>
                <w:color w:val="auto"/>
                <w:kern w:val="0"/>
                <w:highlight w:val="none"/>
                <w:shd w:val="clear" w:color="auto" w:fill="FFFFFF"/>
                <w:lang w:val="en-US"/>
              </w:rPr>
              <w:t>4.1</w:t>
            </w:r>
            <w:r>
              <w:rPr>
                <w:rFonts w:ascii="Times New Roman" w:hAnsi="Times New Roman" w:eastAsia="方正仿宋_GBK"/>
                <w:color w:val="auto"/>
                <w:kern w:val="0"/>
                <w:highlight w:val="none"/>
                <w:shd w:val="clear" w:color="auto" w:fill="FFFFFF"/>
              </w:rPr>
              <w:t>倍以下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不含本数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罚款；</w:t>
            </w:r>
            <w:r>
              <w:rPr>
                <w:rFonts w:ascii="Times New Roman" w:hAnsi="Times New Roman" w:eastAsia="方正仿宋_GBK"/>
                <w:color w:val="auto"/>
                <w:kern w:val="0"/>
                <w:highlight w:val="none"/>
                <w:shd w:val="clear" w:color="auto" w:fill="FFFFFF"/>
                <w:lang w:val="en-US"/>
              </w:rPr>
              <w:t>定点医药机构违反本条规定的，责令定点医药机构暂停相关责任部门8个月以上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10个月以下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lang w:val="en-US"/>
              </w:rPr>
              <w:t>医疗保障基金使用的医药服务</w:t>
            </w: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0"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color w:val="auto"/>
                <w:kern w:val="0"/>
                <w:highlight w:val="none"/>
              </w:rPr>
              <w:t>《基准规则》第十条规定的从重情形</w:t>
            </w:r>
          </w:p>
        </w:tc>
        <w:tc>
          <w:tcPr>
            <w:tcW w:w="3815"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shd w:val="clear" w:color="auto" w:fill="FFFFFF"/>
              </w:rPr>
              <w:t>责令退回骗取的社会保险金，处骗取金额</w:t>
            </w:r>
            <w:r>
              <w:rPr>
                <w:rFonts w:ascii="Times New Roman" w:hAnsi="Times New Roman" w:eastAsia="方正仿宋_GBK"/>
                <w:color w:val="auto"/>
                <w:kern w:val="0"/>
                <w:highlight w:val="none"/>
                <w:shd w:val="clear" w:color="auto" w:fill="FFFFFF"/>
                <w:lang w:val="en-US"/>
              </w:rPr>
              <w:t>4.1</w:t>
            </w:r>
            <w:r>
              <w:rPr>
                <w:rFonts w:ascii="Times New Roman" w:hAnsi="Times New Roman" w:eastAsia="方正仿宋_GBK"/>
                <w:color w:val="auto"/>
                <w:kern w:val="0"/>
                <w:highlight w:val="none"/>
                <w:shd w:val="clear" w:color="auto" w:fill="FFFFFF"/>
              </w:rPr>
              <w:t>倍以</w:t>
            </w:r>
            <w:r>
              <w:rPr>
                <w:rFonts w:ascii="Times New Roman" w:hAnsi="Times New Roman" w:eastAsia="方正仿宋_GBK"/>
                <w:color w:val="auto"/>
                <w:kern w:val="0"/>
                <w:highlight w:val="none"/>
                <w:shd w:val="clear" w:color="auto" w:fill="FFFFFF"/>
                <w:lang w:val="en-US"/>
              </w:rPr>
              <w:t>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5</w:t>
            </w:r>
            <w:r>
              <w:rPr>
                <w:rFonts w:ascii="Times New Roman" w:hAnsi="Times New Roman" w:eastAsia="方正仿宋_GBK"/>
                <w:color w:val="auto"/>
                <w:kern w:val="0"/>
                <w:highlight w:val="none"/>
                <w:shd w:val="clear" w:color="auto" w:fill="FFFFFF"/>
              </w:rPr>
              <w:t>倍</w:t>
            </w:r>
            <w:r>
              <w:rPr>
                <w:rFonts w:ascii="Times New Roman" w:hAnsi="Times New Roman" w:eastAsia="方正仿宋_GBK"/>
                <w:color w:val="auto"/>
                <w:kern w:val="0"/>
                <w:highlight w:val="none"/>
                <w:shd w:val="clear" w:color="auto" w:fill="FFFFFF"/>
                <w:lang w:val="en-US"/>
              </w:rPr>
              <w:t>以下</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rPr>
              <w:t>罚款；</w:t>
            </w:r>
            <w:r>
              <w:rPr>
                <w:rFonts w:ascii="Times New Roman" w:hAnsi="Times New Roman" w:eastAsia="方正仿宋_GBK"/>
                <w:color w:val="auto"/>
                <w:kern w:val="0"/>
                <w:highlight w:val="none"/>
                <w:shd w:val="clear" w:color="auto" w:fill="FFFFFF"/>
                <w:lang w:val="en-US"/>
              </w:rPr>
              <w:t>定点医药机构违反本条规定的，责令定点医药机构暂停相关责任部门10个月以上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1年以下</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医疗保障基金使用的医药服务</w:t>
            </w: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60" w:hRule="atLeast"/>
          <w:jc w:val="center"/>
        </w:trPr>
        <w:tc>
          <w:tcPr>
            <w:tcW w:w="672"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7</w:t>
            </w:r>
          </w:p>
        </w:tc>
        <w:tc>
          <w:tcPr>
            <w:tcW w:w="1668" w:type="dxa"/>
            <w:vMerge w:val="restart"/>
            <w:noWrap w:val="0"/>
            <w:vAlign w:val="center"/>
          </w:tcPr>
          <w:p>
            <w:pPr>
              <w:spacing w:line="360" w:lineRule="exact"/>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shd w:val="clear" w:color="auto" w:fill="FFFFFF"/>
              </w:rPr>
              <w:t>除</w:t>
            </w:r>
            <w:r>
              <w:rPr>
                <w:rFonts w:ascii="Times New Roman" w:hAnsi="Times New Roman" w:eastAsia="方正仿宋_GBK"/>
                <w:color w:val="auto"/>
                <w:highlight w:val="none"/>
                <w:lang w:val="en-US"/>
              </w:rPr>
              <w:t>社会保险经办机构、医疗机构、药品经营单位等社会保险服务机构以外，其他法人、非法人组织或</w:t>
            </w:r>
            <w:r>
              <w:rPr>
                <w:rFonts w:hint="eastAsia" w:ascii="Times New Roman" w:hAnsi="Times New Roman" w:eastAsia="方正仿宋_GBK"/>
                <w:color w:val="auto"/>
                <w:highlight w:val="none"/>
                <w:lang w:val="en-US"/>
              </w:rPr>
              <w:t>者</w:t>
            </w:r>
            <w:r>
              <w:rPr>
                <w:rFonts w:ascii="Times New Roman" w:hAnsi="Times New Roman" w:eastAsia="方正仿宋_GBK"/>
                <w:color w:val="auto"/>
                <w:highlight w:val="none"/>
                <w:lang w:val="en-US"/>
              </w:rPr>
              <w:t>个人</w:t>
            </w:r>
            <w:r>
              <w:rPr>
                <w:rFonts w:ascii="Times New Roman" w:hAnsi="Times New Roman" w:eastAsia="方正仿宋_GBK"/>
                <w:color w:val="auto"/>
                <w:kern w:val="0"/>
                <w:highlight w:val="none"/>
                <w:shd w:val="clear" w:color="auto" w:fill="FFFFFF"/>
              </w:rPr>
              <w:t>以骗取医疗保障基金为目的，</w:t>
            </w:r>
            <w:r>
              <w:rPr>
                <w:rFonts w:ascii="Times New Roman" w:hAnsi="Times New Roman" w:eastAsia="方正仿宋_GBK"/>
                <w:color w:val="auto"/>
                <w:kern w:val="0"/>
                <w:highlight w:val="none"/>
                <w:shd w:val="clear" w:color="auto" w:fill="FFFFFF"/>
                <w:lang w:val="en-US"/>
              </w:rPr>
              <w:t>实施</w:t>
            </w:r>
            <w:r>
              <w:rPr>
                <w:rFonts w:ascii="Times New Roman" w:hAnsi="Times New Roman" w:eastAsia="方正仿宋_GBK"/>
                <w:color w:val="auto"/>
                <w:kern w:val="0"/>
                <w:highlight w:val="none"/>
                <w:shd w:val="clear" w:color="auto" w:fill="FFFFFF"/>
              </w:rPr>
              <w:t>欺诈、伪造证明材料或者其他手段骗取</w:t>
            </w:r>
            <w:r>
              <w:rPr>
                <w:rFonts w:ascii="Times New Roman" w:hAnsi="Times New Roman" w:eastAsia="方正仿宋_GBK"/>
                <w:color w:val="auto"/>
                <w:kern w:val="0"/>
                <w:highlight w:val="none"/>
                <w:shd w:val="clear" w:color="auto" w:fill="FFFFFF"/>
                <w:lang w:val="en-US"/>
              </w:rPr>
              <w:t>医疗</w:t>
            </w:r>
            <w:r>
              <w:rPr>
                <w:rFonts w:ascii="Times New Roman" w:hAnsi="Times New Roman" w:eastAsia="方正仿宋_GBK"/>
                <w:color w:val="auto"/>
                <w:kern w:val="0"/>
                <w:highlight w:val="none"/>
                <w:shd w:val="clear" w:color="auto" w:fill="FFFFFF"/>
              </w:rPr>
              <w:t>保</w:t>
            </w:r>
            <w:r>
              <w:rPr>
                <w:rFonts w:ascii="Times New Roman" w:hAnsi="Times New Roman" w:eastAsia="方正仿宋_GBK"/>
                <w:color w:val="auto"/>
                <w:kern w:val="0"/>
                <w:highlight w:val="none"/>
                <w:shd w:val="clear" w:color="auto" w:fill="FFFFFF"/>
                <w:lang w:val="en-US"/>
              </w:rPr>
              <w:t>障</w:t>
            </w:r>
            <w:r>
              <w:rPr>
                <w:rFonts w:ascii="Times New Roman" w:hAnsi="Times New Roman" w:eastAsia="方正仿宋_GBK"/>
                <w:color w:val="auto"/>
                <w:kern w:val="0"/>
                <w:highlight w:val="none"/>
                <w:shd w:val="clear" w:color="auto" w:fill="FFFFFF"/>
              </w:rPr>
              <w:t>基金支出的</w:t>
            </w:r>
          </w:p>
        </w:tc>
        <w:tc>
          <w:tcPr>
            <w:tcW w:w="5414" w:type="dxa"/>
            <w:gridSpan w:val="2"/>
            <w:vMerge w:val="restart"/>
            <w:noWrap w:val="0"/>
            <w:vAlign w:val="center"/>
          </w:tcPr>
          <w:p>
            <w:pPr>
              <w:widowControl/>
              <w:spacing w:line="360" w:lineRule="exac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《中华人民共和国社会保险法》第三十条</w:t>
            </w:r>
            <w:r>
              <w:rPr>
                <w:rFonts w:ascii="Times New Roman" w:hAnsi="Times New Roman" w:eastAsia="方正仿宋_GBK"/>
                <w:color w:val="auto"/>
                <w:kern w:val="0"/>
                <w:highlight w:val="none"/>
                <w:shd w:val="clear" w:color="auto" w:fill="FFFFFF"/>
                <w:lang w:val="en-US"/>
              </w:rPr>
              <w:t xml:space="preserve"> </w:t>
            </w:r>
            <w:r>
              <w:rPr>
                <w:rFonts w:ascii="Times New Roman" w:hAnsi="Times New Roman" w:eastAsia="方正仿宋_GBK"/>
                <w:color w:val="auto"/>
                <w:kern w:val="0"/>
                <w:highlight w:val="none"/>
                <w:shd w:val="clear" w:color="auto" w:fill="FFFFFF"/>
              </w:rPr>
              <w:t>下列医疗费用不纳入基本医疗保险基金支付范围：（一）应当从工伤保险基金中支付的；（二）应当由第三人负担的；（三）应当由公共卫生负担的；（四）在境外就医的。</w:t>
            </w:r>
          </w:p>
          <w:p>
            <w:pPr>
              <w:widowControl/>
              <w:spacing w:line="360" w:lineRule="exac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《中华人民共和国社会保险法》第八十八条</w:t>
            </w:r>
            <w:r>
              <w:rPr>
                <w:rFonts w:ascii="Times New Roman" w:hAnsi="Times New Roman" w:eastAsia="方正仿宋_GBK"/>
                <w:color w:val="auto"/>
                <w:kern w:val="0"/>
                <w:highlight w:val="none"/>
                <w:shd w:val="clear" w:color="auto" w:fill="FFFFFF"/>
              </w:rPr>
              <w:t xml:space="preserve"> 以欺诈、伪造证明材料或者其他手段骗取社会保险待遇的，由社会保险行政部门责令退回骗取的社会保险金，处骗取金额二倍以上五倍以下的罚款。</w:t>
            </w:r>
          </w:p>
          <w:p>
            <w:pPr>
              <w:widowControl/>
              <w:spacing w:line="36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shd w:val="clear" w:color="auto" w:fill="FFFFFF"/>
              </w:rPr>
              <w:t>《医疗保障基金使用监督管理条例》第四十一条第二款</w:t>
            </w:r>
            <w:r>
              <w:rPr>
                <w:rFonts w:ascii="Times New Roman" w:hAnsi="Times New Roman" w:eastAsia="方正仿宋_GBK"/>
                <w:color w:val="auto"/>
                <w:kern w:val="0"/>
                <w:highlight w:val="none"/>
                <w:shd w:val="clear" w:color="auto" w:fill="FFFFFF"/>
                <w:lang w:val="en-US"/>
              </w:rPr>
              <w:t xml:space="preserve"> </w:t>
            </w:r>
            <w:r>
              <w:rPr>
                <w:rFonts w:ascii="Times New Roman" w:hAnsi="Times New Roman" w:eastAsia="方正仿宋_GBK"/>
                <w:color w:val="auto"/>
                <w:kern w:val="0"/>
                <w:highlight w:val="none"/>
                <w:shd w:val="clear" w:color="auto" w:fill="FFFFFF"/>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r>
              <w:rPr>
                <w:rFonts w:ascii="Times New Roman" w:hAnsi="Times New Roman" w:eastAsia="方正仿宋_GBK"/>
                <w:color w:val="auto"/>
                <w:kern w:val="0"/>
                <w:highlight w:val="none"/>
                <w:shd w:val="clear" w:color="auto" w:fill="FFFFFF"/>
                <w:lang w:val="en-US"/>
              </w:rPr>
              <w:t>。</w:t>
            </w:r>
          </w:p>
        </w:tc>
        <w:tc>
          <w:tcPr>
            <w:tcW w:w="2775"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3815" w:type="dxa"/>
            <w:noWrap w:val="0"/>
            <w:vAlign w:val="center"/>
          </w:tcPr>
          <w:p>
            <w:pPr>
              <w:spacing w:line="360" w:lineRule="exact"/>
              <w:jc w:val="center"/>
              <w:rPr>
                <w:rFonts w:ascii="Times New Roman" w:hAnsi="Times New Roman" w:eastAsia="方正仿宋_GBK"/>
                <w:color w:val="auto"/>
                <w:kern w:val="0"/>
                <w:highlight w:val="none"/>
                <w:shd w:val="clear" w:color="auto" w:fill="FFFFFF"/>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130"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center"/>
          </w:tcPr>
          <w:p>
            <w:pPr>
              <w:widowControl/>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shd w:val="clear" w:color="auto" w:fill="FFFFFF"/>
              </w:rPr>
              <w:t>责令退回骗取的</w:t>
            </w:r>
            <w:r>
              <w:rPr>
                <w:rFonts w:ascii="Times New Roman" w:hAnsi="Times New Roman" w:eastAsia="方正仿宋_GBK"/>
                <w:color w:val="auto"/>
                <w:kern w:val="0"/>
                <w:highlight w:val="none"/>
                <w:shd w:val="clear" w:color="auto" w:fill="FFFFFF"/>
                <w:lang w:val="en-US"/>
              </w:rPr>
              <w:t>医疗保障</w:t>
            </w:r>
            <w:r>
              <w:rPr>
                <w:rFonts w:ascii="Times New Roman" w:hAnsi="Times New Roman" w:eastAsia="方正仿宋_GBK"/>
                <w:color w:val="auto"/>
                <w:kern w:val="0"/>
                <w:highlight w:val="none"/>
                <w:shd w:val="clear" w:color="auto" w:fill="FFFFFF"/>
              </w:rPr>
              <w:t>金，处骗取金额</w:t>
            </w:r>
            <w:r>
              <w:rPr>
                <w:rFonts w:ascii="Times New Roman" w:hAnsi="Times New Roman" w:eastAsia="方正仿宋_GBK"/>
                <w:color w:val="auto"/>
                <w:kern w:val="0"/>
                <w:highlight w:val="none"/>
                <w:shd w:val="clear" w:color="auto" w:fill="FFFFFF"/>
                <w:lang w:val="en-US"/>
              </w:rPr>
              <w:t>2倍以上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2.9倍以下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rPr>
              <w:t>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131"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一般情形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shd w:val="clear" w:color="auto" w:fill="FFFFFF"/>
              </w:rPr>
              <w:t>责令退回骗取的</w:t>
            </w:r>
            <w:r>
              <w:rPr>
                <w:rFonts w:ascii="Times New Roman" w:hAnsi="Times New Roman" w:eastAsia="方正仿宋_GBK"/>
                <w:color w:val="auto"/>
                <w:kern w:val="0"/>
                <w:highlight w:val="none"/>
                <w:shd w:val="clear" w:color="auto" w:fill="FFFFFF"/>
                <w:lang w:val="en-US"/>
              </w:rPr>
              <w:t>医疗保障</w:t>
            </w:r>
            <w:r>
              <w:rPr>
                <w:rFonts w:ascii="Times New Roman" w:hAnsi="Times New Roman" w:eastAsia="方正仿宋_GBK"/>
                <w:color w:val="auto"/>
                <w:kern w:val="0"/>
                <w:highlight w:val="none"/>
                <w:shd w:val="clear" w:color="auto" w:fill="FFFFFF"/>
              </w:rPr>
              <w:t>金，处骗取金额</w:t>
            </w:r>
            <w:r>
              <w:rPr>
                <w:rFonts w:ascii="Times New Roman" w:hAnsi="Times New Roman" w:eastAsia="方正仿宋_GBK"/>
                <w:color w:val="auto"/>
                <w:kern w:val="0"/>
                <w:highlight w:val="none"/>
                <w:shd w:val="clear" w:color="auto" w:fill="FFFFFF"/>
                <w:lang w:val="en-US"/>
              </w:rPr>
              <w:t>2.9</w:t>
            </w:r>
            <w:r>
              <w:rPr>
                <w:rFonts w:ascii="Times New Roman" w:hAnsi="Times New Roman" w:eastAsia="方正仿宋_GBK"/>
                <w:color w:val="auto"/>
                <w:kern w:val="0"/>
                <w:highlight w:val="none"/>
                <w:shd w:val="clear" w:color="auto" w:fill="FFFFFF"/>
              </w:rPr>
              <w:t>倍以上</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lang w:val="en-US"/>
              </w:rPr>
              <w:t>4.1</w:t>
            </w:r>
            <w:r>
              <w:rPr>
                <w:rFonts w:ascii="Times New Roman" w:hAnsi="Times New Roman" w:eastAsia="方正仿宋_GBK"/>
                <w:color w:val="auto"/>
                <w:kern w:val="0"/>
                <w:highlight w:val="none"/>
                <w:shd w:val="clear" w:color="auto" w:fill="FFFFFF"/>
              </w:rPr>
              <w:t>倍以下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不含本数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69"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shd w:val="clear" w:color="auto" w:fill="FFFFFF"/>
              </w:rPr>
              <w:t>责令退回骗取的</w:t>
            </w:r>
            <w:r>
              <w:rPr>
                <w:rFonts w:ascii="Times New Roman" w:hAnsi="Times New Roman" w:eastAsia="方正仿宋_GBK"/>
                <w:color w:val="auto"/>
                <w:kern w:val="0"/>
                <w:highlight w:val="none"/>
                <w:shd w:val="clear" w:color="auto" w:fill="FFFFFF"/>
                <w:lang w:val="en-US"/>
              </w:rPr>
              <w:t>医疗保障</w:t>
            </w:r>
            <w:r>
              <w:rPr>
                <w:rFonts w:ascii="Times New Roman" w:hAnsi="Times New Roman" w:eastAsia="方正仿宋_GBK"/>
                <w:color w:val="auto"/>
                <w:kern w:val="0"/>
                <w:highlight w:val="none"/>
                <w:shd w:val="clear" w:color="auto" w:fill="FFFFFF"/>
              </w:rPr>
              <w:t>金，处骗取金额</w:t>
            </w:r>
            <w:r>
              <w:rPr>
                <w:rFonts w:ascii="Times New Roman" w:hAnsi="Times New Roman" w:eastAsia="方正仿宋_GBK"/>
                <w:color w:val="auto"/>
                <w:kern w:val="0"/>
                <w:highlight w:val="none"/>
                <w:shd w:val="clear" w:color="auto" w:fill="FFFFFF"/>
                <w:lang w:val="en-US"/>
              </w:rPr>
              <w:t>4.1</w:t>
            </w:r>
            <w:r>
              <w:rPr>
                <w:rFonts w:ascii="Times New Roman" w:hAnsi="Times New Roman" w:eastAsia="方正仿宋_GBK"/>
                <w:color w:val="auto"/>
                <w:kern w:val="0"/>
                <w:highlight w:val="none"/>
                <w:shd w:val="clear" w:color="auto" w:fill="FFFFFF"/>
              </w:rPr>
              <w:t>倍以</w:t>
            </w:r>
            <w:r>
              <w:rPr>
                <w:rFonts w:ascii="Times New Roman" w:hAnsi="Times New Roman" w:eastAsia="方正仿宋_GBK"/>
                <w:color w:val="auto"/>
                <w:kern w:val="0"/>
                <w:highlight w:val="none"/>
                <w:shd w:val="clear" w:color="auto" w:fill="FFFFFF"/>
                <w:lang w:val="en-US"/>
              </w:rPr>
              <w:t>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5</w:t>
            </w:r>
            <w:r>
              <w:rPr>
                <w:rFonts w:ascii="Times New Roman" w:hAnsi="Times New Roman" w:eastAsia="方正仿宋_GBK"/>
                <w:color w:val="auto"/>
                <w:kern w:val="0"/>
                <w:highlight w:val="none"/>
                <w:shd w:val="clear" w:color="auto" w:fill="FFFFFF"/>
              </w:rPr>
              <w:t>倍</w:t>
            </w:r>
            <w:r>
              <w:rPr>
                <w:rFonts w:ascii="Times New Roman" w:hAnsi="Times New Roman" w:eastAsia="方正仿宋_GBK"/>
                <w:color w:val="auto"/>
                <w:kern w:val="0"/>
                <w:highlight w:val="none"/>
                <w:shd w:val="clear" w:color="auto" w:fill="FFFFFF"/>
                <w:lang w:val="en-US"/>
              </w:rPr>
              <w:t>以下</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rPr>
              <w:t>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07" w:hRule="atLeast"/>
          <w:jc w:val="center"/>
        </w:trPr>
        <w:tc>
          <w:tcPr>
            <w:tcW w:w="672" w:type="dxa"/>
            <w:vMerge w:val="restart"/>
            <w:noWrap w:val="0"/>
            <w:vAlign w:val="center"/>
          </w:tcPr>
          <w:p>
            <w:pPr>
              <w:spacing w:line="40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8</w:t>
            </w:r>
          </w:p>
        </w:tc>
        <w:tc>
          <w:tcPr>
            <w:tcW w:w="1668" w:type="dxa"/>
            <w:vMerge w:val="restart"/>
            <w:noWrap w:val="0"/>
            <w:vAlign w:val="center"/>
          </w:tcPr>
          <w:p>
            <w:pPr>
              <w:spacing w:line="400" w:lineRule="exact"/>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采取虚报、隐瞒、伪造等手段，骗取医疗救助资金、物资或者服务</w:t>
            </w:r>
            <w:r>
              <w:rPr>
                <w:rFonts w:ascii="Times New Roman" w:hAnsi="Times New Roman" w:eastAsia="方正仿宋_GBK"/>
                <w:color w:val="auto"/>
                <w:kern w:val="0"/>
                <w:highlight w:val="none"/>
                <w:lang w:val="en-US"/>
              </w:rPr>
              <w:t>的</w:t>
            </w:r>
          </w:p>
        </w:tc>
        <w:tc>
          <w:tcPr>
            <w:tcW w:w="5414" w:type="dxa"/>
            <w:gridSpan w:val="2"/>
            <w:vMerge w:val="restart"/>
            <w:noWrap w:val="0"/>
            <w:vAlign w:val="center"/>
          </w:tcPr>
          <w:p>
            <w:pPr>
              <w:widowControl/>
              <w:spacing w:line="40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《社会救助暂行办法》第二十八条</w:t>
            </w:r>
            <w:r>
              <w:rPr>
                <w:rFonts w:ascii="Times New Roman" w:hAnsi="Times New Roman" w:eastAsia="方正仿宋_GBK"/>
                <w:color w:val="auto"/>
                <w:kern w:val="0"/>
                <w:highlight w:val="none"/>
                <w:lang w:val="en-US"/>
              </w:rPr>
              <w:t xml:space="preserve"> </w:t>
            </w:r>
            <w:r>
              <w:rPr>
                <w:rFonts w:ascii="Times New Roman" w:hAnsi="Times New Roman" w:eastAsia="方正仿宋_GBK"/>
                <w:color w:val="auto"/>
                <w:kern w:val="0"/>
                <w:highlight w:val="none"/>
              </w:rPr>
              <w:t>下列人员可以申请相关医疗救助：（一）最低生活保障家庭成员；（二）特困供养人员；（三）县级以上人民政府规定的其他特殊困难人员。</w:t>
            </w:r>
          </w:p>
          <w:p>
            <w:pPr>
              <w:widowControl/>
              <w:spacing w:line="40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rPr>
              <w:t>《社会救助暂行办法》第六十八条</w:t>
            </w:r>
            <w:r>
              <w:rPr>
                <w:rFonts w:ascii="Times New Roman" w:hAnsi="Times New Roman" w:eastAsia="方正仿宋_GBK"/>
                <w:color w:val="auto"/>
                <w:kern w:val="0"/>
                <w:highlight w:val="none"/>
              </w:rPr>
              <w:t xml:space="preserve">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tc>
        <w:tc>
          <w:tcPr>
            <w:tcW w:w="2775"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3815" w:type="dxa"/>
            <w:noWrap w:val="0"/>
            <w:vAlign w:val="center"/>
          </w:tcPr>
          <w:p>
            <w:pPr>
              <w:spacing w:line="360" w:lineRule="exact"/>
              <w:jc w:val="center"/>
              <w:rPr>
                <w:rFonts w:ascii="Times New Roman" w:hAnsi="Times New Roman" w:eastAsia="方正仿宋_GBK"/>
                <w:color w:val="auto"/>
                <w:kern w:val="0"/>
                <w:highlight w:val="none"/>
                <w:shd w:val="clear" w:color="auto" w:fill="FFFFFF"/>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57" w:hRule="atLeast"/>
          <w:jc w:val="center"/>
        </w:trPr>
        <w:tc>
          <w:tcPr>
            <w:tcW w:w="672" w:type="dxa"/>
            <w:vMerge w:val="continue"/>
            <w:noWrap w:val="0"/>
            <w:vAlign w:val="center"/>
          </w:tcPr>
          <w:p>
            <w:pPr>
              <w:spacing w:line="40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400" w:lineRule="exact"/>
              <w:rPr>
                <w:rFonts w:ascii="Times New Roman" w:hAnsi="Times New Roman" w:eastAsia="方正仿宋_GBK"/>
                <w:color w:val="auto"/>
                <w:highlight w:val="none"/>
                <w:lang w:val="en-US"/>
              </w:rPr>
            </w:pPr>
          </w:p>
        </w:tc>
        <w:tc>
          <w:tcPr>
            <w:tcW w:w="5414" w:type="dxa"/>
            <w:gridSpan w:val="2"/>
            <w:vMerge w:val="continue"/>
            <w:noWrap w:val="0"/>
            <w:vAlign w:val="center"/>
          </w:tcPr>
          <w:p>
            <w:pPr>
              <w:widowControl/>
              <w:spacing w:line="400" w:lineRule="exact"/>
              <w:rPr>
                <w:rFonts w:ascii="Times New Roman" w:hAnsi="Times New Roman" w:eastAsia="方正仿宋_GBK"/>
                <w:color w:val="auto"/>
                <w:highlight w:val="none"/>
                <w:lang w:val="en-US"/>
              </w:rPr>
            </w:pPr>
          </w:p>
        </w:tc>
        <w:tc>
          <w:tcPr>
            <w:tcW w:w="2775" w:type="dxa"/>
            <w:noWrap w:val="0"/>
            <w:vAlign w:val="center"/>
          </w:tcPr>
          <w:p>
            <w:pPr>
              <w:autoSpaceDE w:val="0"/>
              <w:spacing w:line="40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40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rPr>
              <w:t>可以处非法获取的救助款额或者物资价值1倍以上</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lang w:val="en-US"/>
              </w:rPr>
              <w:t>1.6</w:t>
            </w:r>
            <w:r>
              <w:rPr>
                <w:rFonts w:ascii="Times New Roman" w:hAnsi="Times New Roman" w:eastAsia="方正仿宋_GBK"/>
                <w:color w:val="auto"/>
                <w:kern w:val="0"/>
                <w:highlight w:val="none"/>
                <w:shd w:val="clear" w:color="auto" w:fill="FFFFFF"/>
              </w:rPr>
              <w:t>倍以下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不含本数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的罚款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126" w:hRule="atLeast"/>
          <w:jc w:val="center"/>
        </w:trPr>
        <w:tc>
          <w:tcPr>
            <w:tcW w:w="672" w:type="dxa"/>
            <w:vMerge w:val="continue"/>
            <w:noWrap w:val="0"/>
            <w:vAlign w:val="top"/>
          </w:tcPr>
          <w:p>
            <w:pPr>
              <w:spacing w:line="40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40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400" w:lineRule="exact"/>
              <w:rPr>
                <w:rFonts w:ascii="Times New Roman" w:hAnsi="Times New Roman" w:eastAsia="方正仿宋_GBK"/>
                <w:color w:val="auto"/>
                <w:highlight w:val="none"/>
                <w:lang w:val="en-US"/>
              </w:rPr>
            </w:pPr>
          </w:p>
        </w:tc>
        <w:tc>
          <w:tcPr>
            <w:tcW w:w="2775" w:type="dxa"/>
            <w:noWrap w:val="0"/>
            <w:vAlign w:val="center"/>
          </w:tcPr>
          <w:p>
            <w:pPr>
              <w:autoSpaceDE w:val="0"/>
              <w:spacing w:line="40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一般情形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40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rPr>
              <w:t>可以处非法获取的救助款额或者物资价值</w:t>
            </w:r>
            <w:r>
              <w:rPr>
                <w:rFonts w:ascii="Times New Roman" w:hAnsi="Times New Roman" w:eastAsia="方正仿宋_GBK"/>
                <w:color w:val="auto"/>
                <w:kern w:val="0"/>
                <w:highlight w:val="none"/>
                <w:shd w:val="clear" w:color="auto" w:fill="FFFFFF"/>
                <w:lang w:val="en-US"/>
              </w:rPr>
              <w:t>1.6</w:t>
            </w:r>
            <w:r>
              <w:rPr>
                <w:rFonts w:ascii="Times New Roman" w:hAnsi="Times New Roman" w:eastAsia="方正仿宋_GBK"/>
                <w:color w:val="auto"/>
                <w:kern w:val="0"/>
                <w:highlight w:val="none"/>
                <w:shd w:val="clear" w:color="auto" w:fill="FFFFFF"/>
              </w:rPr>
              <w:t>倍以上</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lang w:val="en-US"/>
              </w:rPr>
              <w:t>2.4</w:t>
            </w:r>
            <w:r>
              <w:rPr>
                <w:rFonts w:ascii="Times New Roman" w:hAnsi="Times New Roman" w:eastAsia="方正仿宋_GBK"/>
                <w:color w:val="auto"/>
                <w:kern w:val="0"/>
                <w:highlight w:val="none"/>
                <w:shd w:val="clear" w:color="auto" w:fill="FFFFFF"/>
              </w:rPr>
              <w:t>倍以下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不含本数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的罚款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215" w:hRule="atLeast"/>
          <w:jc w:val="center"/>
        </w:trPr>
        <w:tc>
          <w:tcPr>
            <w:tcW w:w="672" w:type="dxa"/>
            <w:vMerge w:val="continue"/>
            <w:noWrap w:val="0"/>
            <w:vAlign w:val="top"/>
          </w:tcPr>
          <w:p>
            <w:pPr>
              <w:spacing w:line="40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40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400" w:lineRule="exact"/>
              <w:rPr>
                <w:rFonts w:ascii="Times New Roman" w:hAnsi="Times New Roman" w:eastAsia="方正仿宋_GBK"/>
                <w:color w:val="auto"/>
                <w:highlight w:val="none"/>
                <w:lang w:val="en-US"/>
              </w:rPr>
            </w:pPr>
          </w:p>
        </w:tc>
        <w:tc>
          <w:tcPr>
            <w:tcW w:w="2775" w:type="dxa"/>
            <w:noWrap w:val="0"/>
            <w:vAlign w:val="center"/>
          </w:tcPr>
          <w:p>
            <w:pPr>
              <w:autoSpaceDE w:val="0"/>
              <w:spacing w:line="40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40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rPr>
              <w:t>可以处非法获取的救助款额或者物资价值</w:t>
            </w:r>
            <w:r>
              <w:rPr>
                <w:rFonts w:ascii="Times New Roman" w:hAnsi="Times New Roman" w:eastAsia="方正仿宋_GBK"/>
                <w:color w:val="auto"/>
                <w:kern w:val="0"/>
                <w:highlight w:val="none"/>
                <w:shd w:val="clear" w:color="auto" w:fill="FFFFFF"/>
                <w:lang w:val="en-US"/>
              </w:rPr>
              <w:t>2.4</w:t>
            </w:r>
            <w:r>
              <w:rPr>
                <w:rFonts w:ascii="Times New Roman" w:hAnsi="Times New Roman" w:eastAsia="方正仿宋_GBK"/>
                <w:color w:val="auto"/>
                <w:kern w:val="0"/>
                <w:highlight w:val="none"/>
                <w:shd w:val="clear" w:color="auto" w:fill="FFFFFF"/>
              </w:rPr>
              <w:t>倍以上</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lang w:val="en-US"/>
              </w:rPr>
              <w:t>3</w:t>
            </w:r>
            <w:r>
              <w:rPr>
                <w:rFonts w:ascii="Times New Roman" w:hAnsi="Times New Roman" w:eastAsia="方正仿宋_GBK"/>
                <w:color w:val="auto"/>
                <w:kern w:val="0"/>
                <w:highlight w:val="none"/>
                <w:shd w:val="clear" w:color="auto" w:fill="FFFFFF"/>
              </w:rPr>
              <w:t>倍以下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的罚款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15" w:hRule="atLeast"/>
          <w:jc w:val="center"/>
        </w:trPr>
        <w:tc>
          <w:tcPr>
            <w:tcW w:w="672"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9</w:t>
            </w:r>
          </w:p>
        </w:tc>
        <w:tc>
          <w:tcPr>
            <w:tcW w:w="1668" w:type="dxa"/>
            <w:vMerge w:val="restart"/>
            <w:noWrap w:val="0"/>
            <w:vAlign w:val="center"/>
          </w:tcPr>
          <w:p>
            <w:pPr>
              <w:spacing w:line="360" w:lineRule="exact"/>
              <w:jc w:val="both"/>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定点医药机构</w:t>
            </w:r>
            <w:r>
              <w:rPr>
                <w:rFonts w:ascii="Times New Roman" w:hAnsi="Times New Roman" w:eastAsia="方正仿宋_GBK"/>
                <w:color w:val="auto"/>
                <w:kern w:val="0"/>
                <w:highlight w:val="none"/>
                <w:lang w:val="en-US"/>
              </w:rPr>
              <w:t>违规造成医疗保障基金损失的</w:t>
            </w:r>
          </w:p>
        </w:tc>
        <w:tc>
          <w:tcPr>
            <w:tcW w:w="5414" w:type="dxa"/>
            <w:gridSpan w:val="2"/>
            <w:vMerge w:val="restart"/>
            <w:noWrap w:val="0"/>
            <w:vAlign w:val="center"/>
          </w:tcPr>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《医疗保障基金使用监督管理条例》第三十八条</w:t>
            </w:r>
            <w:r>
              <w:rPr>
                <w:rFonts w:hint="eastAsia" w:ascii="Times New Roman" w:hAnsi="Times New Roman" w:eastAsia="方正仿宋_GBK"/>
                <w:color w:val="auto"/>
                <w:kern w:val="0"/>
                <w:highlight w:val="none"/>
                <w:lang w:val="en-US"/>
              </w:rPr>
              <w:t xml:space="preserve"> </w:t>
            </w:r>
            <w:r>
              <w:rPr>
                <w:rFonts w:ascii="Times New Roman" w:hAnsi="Times New Roman" w:eastAsia="方正仿宋_GBK"/>
                <w:color w:val="auto"/>
                <w:kern w:val="0"/>
                <w:highlight w:val="none"/>
              </w:rPr>
              <w:t>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（一）分解住院、挂床住院；</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（二）违反诊疗规范过度诊疗、过度检查、分解处方、超量开药、重复开药或者提供其他不必要的医药服务；</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（三）重复收费、超标准收费、分解项目收费；</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（四）串换药品、医用耗材、诊疗项目和服务设施；</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（五）为参保人员利用其享受医疗保障待遇的机会转卖药品，接受返还现金、实物或者获得其他非法利益提供便利；</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（六）将不属于医疗保障基金支付范围的医药费用纳入医疗保障基金结算；</w:t>
            </w:r>
          </w:p>
          <w:p>
            <w:pPr>
              <w:spacing w:line="360" w:lineRule="exact"/>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（七）造成医疗保障基金损失的其他违法行为。</w:t>
            </w:r>
          </w:p>
        </w:tc>
        <w:tc>
          <w:tcPr>
            <w:tcW w:w="2775"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3815" w:type="dxa"/>
            <w:noWrap w:val="0"/>
            <w:vAlign w:val="center"/>
          </w:tcPr>
          <w:p>
            <w:pPr>
              <w:spacing w:line="360" w:lineRule="exact"/>
              <w:jc w:val="center"/>
              <w:rPr>
                <w:rFonts w:ascii="Times New Roman" w:hAnsi="Times New Roman" w:eastAsia="方正仿宋_GBK"/>
                <w:color w:val="auto"/>
                <w:kern w:val="0"/>
                <w:highlight w:val="none"/>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985"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both"/>
              <w:rPr>
                <w:rFonts w:ascii="Times New Roman" w:hAnsi="Times New Roman" w:eastAsia="方正仿宋_GBK"/>
                <w:color w:val="auto"/>
                <w:highlight w:val="none"/>
                <w:lang w:val="en-US"/>
              </w:rPr>
            </w:pPr>
          </w:p>
        </w:tc>
        <w:tc>
          <w:tcPr>
            <w:tcW w:w="5414" w:type="dxa"/>
            <w:gridSpan w:val="2"/>
            <w:vMerge w:val="continue"/>
            <w:noWrap w:val="0"/>
            <w:vAlign w:val="center"/>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40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40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rPr>
              <w:t>处造成损失金额1倍以上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1.3</w:t>
            </w:r>
            <w:r>
              <w:rPr>
                <w:rFonts w:ascii="Times New Roman" w:hAnsi="Times New Roman" w:eastAsia="方正仿宋_GBK"/>
                <w:color w:val="auto"/>
                <w:kern w:val="0"/>
                <w:highlight w:val="none"/>
              </w:rPr>
              <w:t>倍以下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57"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40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一般情形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40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rPr>
              <w:t>处造成损失金额1</w:t>
            </w:r>
            <w:r>
              <w:rPr>
                <w:rFonts w:ascii="Times New Roman" w:hAnsi="Times New Roman" w:eastAsia="方正仿宋_GBK"/>
                <w:color w:val="auto"/>
                <w:kern w:val="0"/>
                <w:highlight w:val="none"/>
                <w:lang w:val="en-US"/>
              </w:rPr>
              <w:t>.3</w:t>
            </w:r>
            <w:r>
              <w:rPr>
                <w:rFonts w:ascii="Times New Roman" w:hAnsi="Times New Roman" w:eastAsia="方正仿宋_GBK"/>
                <w:color w:val="auto"/>
                <w:kern w:val="0"/>
                <w:highlight w:val="none"/>
              </w:rPr>
              <w:t>倍以上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1.7</w:t>
            </w:r>
            <w:r>
              <w:rPr>
                <w:rFonts w:ascii="Times New Roman" w:hAnsi="Times New Roman" w:eastAsia="方正仿宋_GBK"/>
                <w:color w:val="auto"/>
                <w:kern w:val="0"/>
                <w:highlight w:val="none"/>
              </w:rPr>
              <w:t>倍以下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203"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40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40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rPr>
              <w:t>处造成损失金额1</w:t>
            </w:r>
            <w:r>
              <w:rPr>
                <w:rFonts w:ascii="Times New Roman" w:hAnsi="Times New Roman" w:eastAsia="方正仿宋_GBK"/>
                <w:color w:val="auto"/>
                <w:kern w:val="0"/>
                <w:highlight w:val="none"/>
                <w:lang w:val="en-US"/>
              </w:rPr>
              <w:t>.7</w:t>
            </w:r>
            <w:r>
              <w:rPr>
                <w:rFonts w:ascii="Times New Roman" w:hAnsi="Times New Roman" w:eastAsia="方正仿宋_GBK"/>
                <w:color w:val="auto"/>
                <w:kern w:val="0"/>
                <w:highlight w:val="none"/>
              </w:rPr>
              <w:t>倍以上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2</w:t>
            </w:r>
            <w:r>
              <w:rPr>
                <w:rFonts w:ascii="Times New Roman" w:hAnsi="Times New Roman" w:eastAsia="方正仿宋_GBK"/>
                <w:color w:val="auto"/>
                <w:kern w:val="0"/>
                <w:highlight w:val="none"/>
              </w:rPr>
              <w:t>倍以下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的罚款；拒不改正或者造成严重后果的，责令定点医药机构暂停相关责任部门6个月以上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1年以下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涉及医疗保障基金使用的医药服务</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595" w:hRule="atLeast"/>
          <w:jc w:val="center"/>
        </w:trPr>
        <w:tc>
          <w:tcPr>
            <w:tcW w:w="672" w:type="dxa"/>
            <w:vMerge w:val="restart"/>
            <w:noWrap w:val="0"/>
            <w:vAlign w:val="center"/>
          </w:tcPr>
          <w:p>
            <w:pPr>
              <w:spacing w:line="34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10</w:t>
            </w:r>
          </w:p>
        </w:tc>
        <w:tc>
          <w:tcPr>
            <w:tcW w:w="1668" w:type="dxa"/>
            <w:vMerge w:val="restart"/>
            <w:noWrap w:val="0"/>
            <w:vAlign w:val="center"/>
          </w:tcPr>
          <w:p>
            <w:pPr>
              <w:spacing w:line="340" w:lineRule="exact"/>
              <w:jc w:val="both"/>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定点医药机构</w:t>
            </w:r>
            <w:r>
              <w:rPr>
                <w:rFonts w:ascii="Times New Roman" w:hAnsi="Times New Roman" w:eastAsia="方正仿宋_GBK"/>
                <w:color w:val="auto"/>
                <w:kern w:val="0"/>
                <w:highlight w:val="none"/>
                <w:lang w:val="en-US"/>
              </w:rPr>
              <w:t>违反管理规定的</w:t>
            </w:r>
          </w:p>
        </w:tc>
        <w:tc>
          <w:tcPr>
            <w:tcW w:w="5414" w:type="dxa"/>
            <w:gridSpan w:val="2"/>
            <w:vMerge w:val="restart"/>
            <w:noWrap w:val="0"/>
            <w:vAlign w:val="center"/>
          </w:tcPr>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《医疗保障基金使用监督管理条例》第十四条</w:t>
            </w:r>
            <w:r>
              <w:rPr>
                <w:rFonts w:ascii="Times New Roman" w:hAnsi="Times New Roman" w:eastAsia="方正仿宋_GBK"/>
                <w:color w:val="auto"/>
                <w:kern w:val="0"/>
                <w:highlight w:val="none"/>
              </w:rPr>
              <w:t xml:space="preserve"> 定点医药机构应当建立医疗保障基金使用内部管理制度，由专门机构或者人员负责医疗保障基金使用管理工作，建立健全考核评价体系。</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定点医药机构应当组织开展医疗保障基金相关制度、政策的培训，定期检查本单位医疗保障基金使用情况，及时纠正医疗保障基金使用不规范的行为。</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w:t>
            </w:r>
            <w:r>
              <w:rPr>
                <w:rFonts w:ascii="Times New Roman" w:hAnsi="Times New Roman" w:eastAsia="方正仿宋_GBK"/>
                <w:b/>
                <w:bCs/>
                <w:color w:val="auto"/>
                <w:kern w:val="0"/>
                <w:highlight w:val="none"/>
                <w:lang w:val="en-US"/>
              </w:rPr>
              <w:t>第十五条第二款</w:t>
            </w:r>
            <w:r>
              <w:rPr>
                <w:rFonts w:ascii="Times New Roman" w:hAnsi="Times New Roman" w:eastAsia="方正仿宋_GBK"/>
                <w:color w:val="auto"/>
                <w:kern w:val="0"/>
                <w:highlight w:val="none"/>
                <w:lang w:val="en-US"/>
              </w:rPr>
              <w:t xml:space="preserve"> </w:t>
            </w:r>
            <w:r>
              <w:rPr>
                <w:rFonts w:ascii="Times New Roman" w:hAnsi="Times New Roman" w:eastAsia="方正仿宋_GBK"/>
                <w:color w:val="auto"/>
                <w:kern w:val="0"/>
                <w:highlight w:val="none"/>
              </w:rPr>
              <w:t>定点医药机构应当确保医疗保障基金支付的费用符合规定的支付范围；除急诊、抢救等特殊情形外，提供医疗保障基金支付范围以外的医药服务的，应当经参保人员或者其近亲属、监护人同意。</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w:t>
            </w:r>
            <w:r>
              <w:rPr>
                <w:rFonts w:ascii="Times New Roman" w:hAnsi="Times New Roman" w:eastAsia="方正仿宋_GBK"/>
                <w:b/>
                <w:bCs/>
                <w:color w:val="auto"/>
                <w:kern w:val="0"/>
                <w:highlight w:val="none"/>
                <w:lang w:val="en-US"/>
              </w:rPr>
              <w:t>第十六条</w:t>
            </w:r>
            <w:r>
              <w:rPr>
                <w:rFonts w:ascii="Times New Roman" w:hAnsi="Times New Roman" w:eastAsia="方正仿宋_GBK"/>
                <w:color w:val="auto"/>
                <w:kern w:val="0"/>
                <w:highlight w:val="none"/>
                <w:lang w:val="en-US"/>
              </w:rPr>
              <w:t xml:space="preserve"> </w:t>
            </w:r>
            <w:r>
              <w:rPr>
                <w:rFonts w:ascii="Times New Roman" w:hAnsi="Times New Roman" w:eastAsia="方正仿宋_GBK"/>
                <w:color w:val="auto"/>
                <w:kern w:val="0"/>
                <w:highlight w:val="none"/>
              </w:rPr>
              <w:t>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《医疗保障基金使用监督管理条例》第二十四条</w:t>
            </w:r>
            <w:r>
              <w:rPr>
                <w:rFonts w:ascii="Times New Roman" w:hAnsi="Times New Roman" w:eastAsia="方正仿宋_GBK"/>
                <w:color w:val="auto"/>
                <w:kern w:val="0"/>
                <w:highlight w:val="none"/>
              </w:rPr>
              <w:t xml:space="preserve">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《医疗保障基金使用监督管理条例》第三十九条</w:t>
            </w:r>
            <w:r>
              <w:rPr>
                <w:rFonts w:ascii="Times New Roman" w:hAnsi="Times New Roman" w:eastAsia="方正仿宋_GBK"/>
                <w:color w:val="auto"/>
                <w:kern w:val="0"/>
                <w:highlight w:val="none"/>
              </w:rPr>
              <w:t xml:space="preserve"> 定点医药机构有下列情形之一的，由医疗保障行政部门责令改正，并可以约谈有关负责人；拒不改正的，处1万元以上5万元以下的罚款；违反其他法律、行政法规的，由有关主管部门依法处理：</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（一）未建立医疗保障基金使用内部管理制度，或者没有专门机构或者人员负责医疗保障基金使用管理工作；</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（二）未按照规定保管财务账目、会计凭证、处方、病历、治疗检查记录、费用明细、药品和医用耗材出入库记录等资料；</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（三）未按照规定通过医疗保障信息系统传送医疗保障基金使用有关数据；</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（四）未按照规定向医疗保障行政部门报告医疗保障基金使用监督管理所需信息；</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（五）未按照规定向社会公开医药费用、费用结构等信息；</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（六）除急诊、抢救等特殊情形外，未经参保人员或者其近亲属、监护人同意提供医疗保障基金支付范围以外的医药服务；</w:t>
            </w:r>
          </w:p>
          <w:p>
            <w:r>
              <w:rPr>
                <w:rFonts w:ascii="Times New Roman" w:hAnsi="Times New Roman" w:eastAsia="方正仿宋_GBK"/>
                <w:color w:val="auto"/>
                <w:kern w:val="0"/>
                <w:highlight w:val="none"/>
              </w:rPr>
              <w:t>（七）拒绝医疗保障等行政部门监督检查或者提供虚假情况。</w:t>
            </w:r>
          </w:p>
          <w:p/>
          <w:p/>
          <w:p/>
          <w:p/>
          <w:p/>
          <w:p/>
          <w:p/>
          <w:p/>
          <w:p/>
          <w:p/>
          <w:p/>
          <w:p>
            <w:pPr>
              <w:spacing w:line="34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3815" w:type="dxa"/>
            <w:noWrap w:val="0"/>
            <w:vAlign w:val="center"/>
          </w:tcPr>
          <w:p>
            <w:pPr>
              <w:spacing w:line="360" w:lineRule="exact"/>
              <w:jc w:val="center"/>
              <w:rPr>
                <w:rFonts w:hint="eastAsia" w:ascii="Times New Roman" w:hAnsi="Times New Roman" w:eastAsia="方正仿宋_GBK"/>
                <w:color w:val="auto"/>
                <w:kern w:val="0"/>
                <w:highlight w:val="none"/>
                <w:lang w:val="en-US" w:eastAsia="zh-CN"/>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955" w:hRule="atLeast"/>
          <w:jc w:val="center"/>
        </w:trPr>
        <w:tc>
          <w:tcPr>
            <w:tcW w:w="672" w:type="dxa"/>
            <w:vMerge w:val="continue"/>
            <w:noWrap w:val="0"/>
            <w:vAlign w:val="center"/>
          </w:tcPr>
          <w:p>
            <w:pPr>
              <w:autoSpaceDE w:val="0"/>
              <w:spacing w:line="340" w:lineRule="exact"/>
              <w:rPr>
                <w:color w:val="auto"/>
              </w:rPr>
            </w:pPr>
          </w:p>
        </w:tc>
        <w:tc>
          <w:tcPr>
            <w:tcW w:w="1668" w:type="dxa"/>
            <w:vMerge w:val="continue"/>
            <w:noWrap w:val="0"/>
            <w:vAlign w:val="center"/>
          </w:tcPr>
          <w:p>
            <w:pPr>
              <w:autoSpaceDE w:val="0"/>
              <w:spacing w:line="340" w:lineRule="exact"/>
              <w:rPr>
                <w:color w:val="auto"/>
              </w:rPr>
            </w:pPr>
          </w:p>
        </w:tc>
        <w:tc>
          <w:tcPr>
            <w:tcW w:w="5414" w:type="dxa"/>
            <w:gridSpan w:val="2"/>
            <w:vMerge w:val="continue"/>
            <w:noWrap w:val="0"/>
            <w:vAlign w:val="center"/>
          </w:tcPr>
          <w:p>
            <w:pPr>
              <w:autoSpaceDE w:val="0"/>
              <w:spacing w:line="340" w:lineRule="exact"/>
              <w:rPr>
                <w:color w:val="auto"/>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拒不改正的，处</w:t>
            </w:r>
            <w:r>
              <w:rPr>
                <w:rFonts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万元以上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二万二千</w:t>
            </w:r>
            <w:r>
              <w:rPr>
                <w:rFonts w:ascii="Times New Roman" w:hAnsi="Times New Roman" w:eastAsia="方正仿宋_GBK"/>
                <w:color w:val="auto"/>
                <w:kern w:val="0"/>
                <w:highlight w:val="none"/>
              </w:rPr>
              <w:t>元以下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226" w:hRule="atLeast"/>
          <w:jc w:val="center"/>
        </w:trPr>
        <w:tc>
          <w:tcPr>
            <w:tcW w:w="672" w:type="dxa"/>
            <w:vMerge w:val="continue"/>
            <w:noWrap w:val="0"/>
            <w:vAlign w:val="top"/>
          </w:tcPr>
          <w:p>
            <w:pPr>
              <w:spacing w:line="34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4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4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一般情形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kern w:val="0"/>
                <w:highlight w:val="none"/>
                <w:lang w:val="en-US" w:eastAsia="zh-CN"/>
              </w:rPr>
            </w:pPr>
            <w:r>
              <w:rPr>
                <w:rFonts w:ascii="Times New Roman" w:hAnsi="Times New Roman" w:eastAsia="方正仿宋_GBK"/>
                <w:color w:val="auto"/>
                <w:kern w:val="0"/>
                <w:highlight w:val="none"/>
              </w:rPr>
              <w:t>拒不改正的，处</w:t>
            </w:r>
            <w:r>
              <w:rPr>
                <w:rFonts w:ascii="Times New Roman" w:hAnsi="Times New Roman" w:eastAsia="方正仿宋_GBK"/>
                <w:color w:val="auto"/>
                <w:kern w:val="0"/>
                <w:highlight w:val="none"/>
                <w:lang w:val="en-US"/>
              </w:rPr>
              <w:t>二万二千</w:t>
            </w:r>
            <w:r>
              <w:rPr>
                <w:rFonts w:ascii="Times New Roman" w:hAnsi="Times New Roman" w:eastAsia="方正仿宋_GBK"/>
                <w:color w:val="auto"/>
                <w:kern w:val="0"/>
                <w:highlight w:val="none"/>
              </w:rPr>
              <w:t>元以上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三万八千元</w:t>
            </w:r>
            <w:r>
              <w:rPr>
                <w:rFonts w:ascii="Times New Roman" w:hAnsi="Times New Roman" w:eastAsia="方正仿宋_GBK"/>
                <w:color w:val="auto"/>
                <w:kern w:val="0"/>
                <w:highlight w:val="none"/>
              </w:rPr>
              <w:t>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045" w:hRule="atLeast"/>
          <w:jc w:val="center"/>
        </w:trPr>
        <w:tc>
          <w:tcPr>
            <w:tcW w:w="672" w:type="dxa"/>
            <w:vMerge w:val="continue"/>
            <w:noWrap w:val="0"/>
            <w:vAlign w:val="top"/>
          </w:tcPr>
          <w:p>
            <w:pPr>
              <w:spacing w:line="34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4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4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kern w:val="0"/>
                <w:highlight w:val="none"/>
                <w:lang w:val="en-US" w:eastAsia="zh-CN"/>
              </w:rPr>
            </w:pPr>
            <w:r>
              <w:rPr>
                <w:rFonts w:ascii="Times New Roman" w:hAnsi="Times New Roman" w:eastAsia="方正仿宋_GBK"/>
                <w:color w:val="auto"/>
                <w:kern w:val="0"/>
                <w:highlight w:val="none"/>
              </w:rPr>
              <w:t>拒不改正的，处</w:t>
            </w:r>
            <w:r>
              <w:rPr>
                <w:rFonts w:ascii="Times New Roman" w:hAnsi="Times New Roman" w:eastAsia="方正仿宋_GBK"/>
                <w:color w:val="auto"/>
                <w:kern w:val="0"/>
                <w:highlight w:val="none"/>
                <w:lang w:val="en-US"/>
              </w:rPr>
              <w:t>三万八千</w:t>
            </w:r>
            <w:r>
              <w:rPr>
                <w:rFonts w:ascii="Times New Roman" w:hAnsi="Times New Roman" w:eastAsia="方正仿宋_GBK"/>
                <w:color w:val="auto"/>
                <w:kern w:val="0"/>
                <w:highlight w:val="none"/>
              </w:rPr>
              <w:t>元以上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五</w:t>
            </w:r>
            <w:r>
              <w:rPr>
                <w:rFonts w:ascii="Times New Roman" w:hAnsi="Times New Roman" w:eastAsia="方正仿宋_GBK"/>
                <w:color w:val="auto"/>
                <w:kern w:val="0"/>
                <w:highlight w:val="none"/>
              </w:rPr>
              <w:t>万元以下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578" w:hRule="atLeast"/>
          <w:jc w:val="center"/>
        </w:trPr>
        <w:tc>
          <w:tcPr>
            <w:tcW w:w="672"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11</w:t>
            </w:r>
          </w:p>
        </w:tc>
        <w:tc>
          <w:tcPr>
            <w:tcW w:w="1668" w:type="dxa"/>
            <w:vMerge w:val="restart"/>
            <w:noWrap w:val="0"/>
            <w:vAlign w:val="center"/>
          </w:tcPr>
          <w:p>
            <w:pPr>
              <w:spacing w:line="360" w:lineRule="exact"/>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lang w:val="en-US"/>
              </w:rPr>
              <w:t>个人违规造成医疗保障基金损失的</w:t>
            </w:r>
          </w:p>
        </w:tc>
        <w:tc>
          <w:tcPr>
            <w:tcW w:w="5414" w:type="dxa"/>
            <w:gridSpan w:val="2"/>
            <w:vMerge w:val="restart"/>
            <w:noWrap w:val="0"/>
            <w:vAlign w:val="top"/>
          </w:tcPr>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《医疗保障基金使用监督管理条例》第十七条</w:t>
            </w:r>
            <w:r>
              <w:rPr>
                <w:rFonts w:ascii="Times New Roman" w:hAnsi="Times New Roman" w:eastAsia="方正仿宋_GBK"/>
                <w:color w:val="auto"/>
                <w:kern w:val="0"/>
                <w:highlight w:val="none"/>
              </w:rPr>
              <w:t xml:space="preserve"> 参保人员应当持本人医疗保障凭证就医、购药，并主动出示接受查验。参保人员有权要求定点医药机构如实出具费用单据和相关资料。</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参保人员应当妥善保管本人医疗保障凭证，防止他人冒名使用。因特殊原因需要委托他人代为购药的，应当提供委托人和受托人的身份证明。</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参保人员应当按照规定享受医疗保障待遇，不得重复享受。</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参保人员有权要求医疗保障经办机构提供医疗保障咨询服务，对医疗保障基金的使用提出改进建议。</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《医疗保障基金使用监督管理条例》第四十一条</w:t>
            </w:r>
            <w:r>
              <w:rPr>
                <w:rFonts w:ascii="Times New Roman" w:hAnsi="Times New Roman" w:eastAsia="方正仿宋_GBK"/>
                <w:color w:val="auto"/>
                <w:kern w:val="0"/>
                <w:highlight w:val="none"/>
              </w:rPr>
              <w:t xml:space="preserve"> 个人有下列情形之一的，由医疗保障行政部门责令改正；造成医疗保障基金损失的，责令退回；属于参保人员的，暂停其医疗费用联网结算3个月至12个月：</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（一）将本人的医疗保障凭证交由他人冒名使用；</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（二）重复享受医疗保障待遇；</w:t>
            </w:r>
          </w:p>
          <w:p>
            <w:pPr>
              <w:spacing w:line="360" w:lineRule="exact"/>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（三）利用享受医疗保障待遇的机会转卖药品，接受返还现金、实物或者获得其他非法利益。</w:t>
            </w:r>
          </w:p>
        </w:tc>
        <w:tc>
          <w:tcPr>
            <w:tcW w:w="2775"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3815" w:type="dxa"/>
            <w:noWrap w:val="0"/>
            <w:vAlign w:val="center"/>
          </w:tcPr>
          <w:p>
            <w:pPr>
              <w:spacing w:line="360" w:lineRule="exact"/>
              <w:jc w:val="center"/>
              <w:rPr>
                <w:rFonts w:ascii="Times New Roman" w:hAnsi="Times New Roman" w:eastAsia="方正仿宋_GBK"/>
                <w:color w:val="auto"/>
                <w:highlight w:val="none"/>
                <w:lang w:val="en-US"/>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828"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highlight w:val="none"/>
                <w:lang w:val="en-US"/>
              </w:rPr>
              <w:t>责令改正；造成医疗保障基金损失的，责令退回；属于参保人员的，暂停其医疗费用联网结算3个月</w:t>
            </w:r>
            <w:r>
              <w:rPr>
                <w:rFonts w:hint="eastAsia" w:ascii="Times New Roman" w:hAnsi="Times New Roman" w:eastAsia="方正仿宋_GBK"/>
                <w:color w:val="auto"/>
                <w:highlight w:val="none"/>
                <w:lang w:val="en-US"/>
              </w:rPr>
              <w:t>（含本数）</w:t>
            </w:r>
            <w:r>
              <w:rPr>
                <w:rFonts w:ascii="Times New Roman" w:hAnsi="Times New Roman" w:eastAsia="方正仿宋_GBK"/>
                <w:color w:val="auto"/>
                <w:highlight w:val="none"/>
                <w:lang w:val="en-US"/>
              </w:rPr>
              <w:t>至6个月</w:t>
            </w:r>
            <w:r>
              <w:rPr>
                <w:rFonts w:hint="eastAsia" w:ascii="Times New Roman" w:hAnsi="Times New Roman" w:eastAsia="方正仿宋_GBK"/>
                <w:color w:val="auto"/>
                <w:highlight w:val="none"/>
                <w:lang w:val="en-US"/>
              </w:rPr>
              <w:t>（不含本数）</w:t>
            </w:r>
            <w:r>
              <w:rPr>
                <w:rFonts w:hint="eastAsia" w:ascii="Times New Roman" w:hAnsi="Times New Roman" w:eastAsia="方正仿宋_GBK"/>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70"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一般情形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highlight w:val="none"/>
                <w:lang w:val="en-US"/>
              </w:rPr>
              <w:t>责令改正；造成医疗保障基金损失的，责令退回；属于参保人员的，暂停其医疗费用联网结算6个月</w:t>
            </w:r>
            <w:r>
              <w:rPr>
                <w:rFonts w:hint="eastAsia" w:ascii="Times New Roman" w:hAnsi="Times New Roman" w:eastAsia="方正仿宋_GBK"/>
                <w:color w:val="auto"/>
                <w:highlight w:val="none"/>
                <w:lang w:val="en-US"/>
              </w:rPr>
              <w:t>（含本数）</w:t>
            </w:r>
            <w:r>
              <w:rPr>
                <w:rFonts w:ascii="Times New Roman" w:hAnsi="Times New Roman" w:eastAsia="方正仿宋_GBK"/>
                <w:color w:val="auto"/>
                <w:highlight w:val="none"/>
                <w:lang w:val="en-US"/>
              </w:rPr>
              <w:t>至9个月</w:t>
            </w:r>
            <w:r>
              <w:rPr>
                <w:rFonts w:hint="eastAsia" w:ascii="Times New Roman" w:hAnsi="Times New Roman" w:eastAsia="方正仿宋_GBK"/>
                <w:color w:val="auto"/>
                <w:highlight w:val="none"/>
                <w:lang w:val="en-US"/>
              </w:rPr>
              <w:t>（不含本数）</w:t>
            </w:r>
            <w:r>
              <w:rPr>
                <w:rFonts w:hint="eastAsia" w:ascii="Times New Roman" w:hAnsi="Times New Roman" w:eastAsia="方正仿宋_GBK"/>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274"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highlight w:val="none"/>
                <w:lang w:val="en-US"/>
              </w:rPr>
              <w:t>责令改正；造成医疗保障基金损失的，责令退回；属于参保人员的，暂停其医疗费用联网结算9个月</w:t>
            </w:r>
            <w:r>
              <w:rPr>
                <w:rFonts w:hint="eastAsia" w:ascii="Times New Roman" w:hAnsi="Times New Roman" w:eastAsia="方正仿宋_GBK"/>
                <w:color w:val="auto"/>
                <w:highlight w:val="none"/>
                <w:lang w:val="en-US"/>
              </w:rPr>
              <w:t>（含本数）</w:t>
            </w:r>
            <w:r>
              <w:rPr>
                <w:rFonts w:ascii="Times New Roman" w:hAnsi="Times New Roman" w:eastAsia="方正仿宋_GBK"/>
                <w:color w:val="auto"/>
                <w:highlight w:val="none"/>
                <w:lang w:val="en-US"/>
              </w:rPr>
              <w:t>至12个月</w:t>
            </w:r>
            <w:r>
              <w:rPr>
                <w:rFonts w:hint="eastAsia" w:ascii="Times New Roman" w:hAnsi="Times New Roman" w:eastAsia="方正仿宋_GBK"/>
                <w:color w:val="auto"/>
                <w:highlight w:val="none"/>
                <w:lang w:val="en-US"/>
              </w:rPr>
              <w:t>（含本数）</w:t>
            </w:r>
            <w:r>
              <w:rPr>
                <w:rFonts w:hint="eastAsia" w:ascii="Times New Roman" w:hAnsi="Times New Roman" w:eastAsia="方正仿宋_GBK"/>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15" w:hRule="atLeast"/>
          <w:jc w:val="center"/>
        </w:trPr>
        <w:tc>
          <w:tcPr>
            <w:tcW w:w="672"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12</w:t>
            </w:r>
          </w:p>
        </w:tc>
        <w:tc>
          <w:tcPr>
            <w:tcW w:w="1668" w:type="dxa"/>
            <w:vMerge w:val="restart"/>
            <w:noWrap w:val="0"/>
            <w:vAlign w:val="center"/>
          </w:tcPr>
          <w:p>
            <w:pPr>
              <w:spacing w:line="360" w:lineRule="exact"/>
              <w:jc w:val="both"/>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对参加药品采购投标的投标人以低于成本的报价竞标，或者以欺诈、串通投标、滥用市场支配地位等方式竞标的</w:t>
            </w:r>
          </w:p>
        </w:tc>
        <w:tc>
          <w:tcPr>
            <w:tcW w:w="5414" w:type="dxa"/>
            <w:gridSpan w:val="2"/>
            <w:vMerge w:val="restart"/>
            <w:noWrap w:val="0"/>
            <w:vAlign w:val="center"/>
          </w:tcPr>
          <w:p>
            <w:pPr>
              <w:spacing w:line="36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rPr>
              <w:t>《中华人民共和国基本医疗卫生与健康促进法》第一百零三条</w:t>
            </w:r>
            <w:r>
              <w:rPr>
                <w:rFonts w:ascii="Times New Roman" w:hAnsi="Times New Roman" w:eastAsia="方正仿宋_GBK"/>
                <w:color w:val="auto"/>
                <w:kern w:val="0"/>
                <w:highlight w:val="none"/>
              </w:rPr>
              <w:t xml:space="preserve">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2775"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3815" w:type="dxa"/>
            <w:noWrap w:val="0"/>
            <w:vAlign w:val="center"/>
          </w:tcPr>
          <w:p>
            <w:pPr>
              <w:spacing w:line="360" w:lineRule="exact"/>
              <w:jc w:val="center"/>
              <w:rPr>
                <w:rFonts w:ascii="Times New Roman" w:hAnsi="Times New Roman" w:eastAsia="方正仿宋_GBK"/>
                <w:color w:val="auto"/>
                <w:kern w:val="0"/>
                <w:highlight w:val="none"/>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885"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both"/>
              <w:rPr>
                <w:rFonts w:ascii="Times New Roman" w:hAnsi="Times New Roman" w:eastAsia="方正仿宋_GBK"/>
                <w:color w:val="auto"/>
                <w:highlight w:val="none"/>
                <w:lang w:val="en-US"/>
              </w:rPr>
            </w:pPr>
          </w:p>
        </w:tc>
        <w:tc>
          <w:tcPr>
            <w:tcW w:w="5414" w:type="dxa"/>
            <w:gridSpan w:val="2"/>
            <w:vMerge w:val="continue"/>
            <w:noWrap w:val="0"/>
            <w:vAlign w:val="center"/>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rPr>
              <w:t>中标无效，处中标项目金额</w:t>
            </w:r>
            <w:r>
              <w:rPr>
                <w:rFonts w:ascii="Times New Roman" w:hAnsi="Times New Roman" w:eastAsia="方正仿宋_GBK"/>
                <w:color w:val="auto"/>
                <w:kern w:val="0"/>
                <w:highlight w:val="none"/>
                <w:lang w:val="en-US"/>
              </w:rPr>
              <w:t>5‰</w:t>
            </w:r>
            <w:r>
              <w:rPr>
                <w:rFonts w:ascii="Times New Roman" w:hAnsi="Times New Roman" w:eastAsia="方正仿宋_GBK"/>
                <w:color w:val="auto"/>
                <w:kern w:val="0"/>
                <w:highlight w:val="none"/>
              </w:rPr>
              <w:t>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6.5‰</w:t>
            </w:r>
            <w:r>
              <w:rPr>
                <w:rFonts w:ascii="Times New Roman" w:hAnsi="Times New Roman" w:eastAsia="方正仿宋_GBK"/>
                <w:color w:val="auto"/>
                <w:kern w:val="0"/>
                <w:highlight w:val="none"/>
              </w:rPr>
              <w:t>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的罚款，对法定代表人、主要负责人、直接负责的主管人员和其他责任人员处对单位罚款数额</w:t>
            </w:r>
            <w:r>
              <w:rPr>
                <w:rFonts w:ascii="Times New Roman" w:hAnsi="Times New Roman" w:eastAsia="方正仿宋_GBK"/>
                <w:color w:val="auto"/>
                <w:kern w:val="0"/>
                <w:highlight w:val="none"/>
                <w:lang w:val="en-US"/>
              </w:rPr>
              <w:t>5</w:t>
            </w:r>
            <w:r>
              <w:rPr>
                <w:rFonts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以上</w:t>
            </w:r>
            <w:r>
              <w:rPr>
                <w:rFonts w:ascii="Times New Roman" w:hAnsi="Times New Roman" w:eastAsia="方正仿宋_GBK"/>
                <w:color w:val="auto"/>
                <w:kern w:val="0"/>
                <w:highlight w:val="none"/>
                <w:lang w:val="en-US"/>
              </w:rPr>
              <w:t>6.5</w:t>
            </w:r>
            <w:r>
              <w:rPr>
                <w:rFonts w:ascii="Times New Roman" w:hAnsi="Times New Roman" w:eastAsia="方正仿宋_GBK"/>
                <w:color w:val="auto"/>
                <w:kern w:val="0"/>
                <w:highlight w:val="none"/>
              </w:rPr>
              <w:t>％以下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880"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一般情形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rPr>
              <w:t>中标无效，处中标项目金额</w:t>
            </w:r>
            <w:r>
              <w:rPr>
                <w:rFonts w:ascii="Times New Roman" w:hAnsi="Times New Roman" w:eastAsia="方正仿宋_GBK"/>
                <w:color w:val="auto"/>
                <w:kern w:val="0"/>
                <w:highlight w:val="none"/>
                <w:lang w:val="en-US"/>
              </w:rPr>
              <w:t>6.5‰</w:t>
            </w:r>
            <w:r>
              <w:rPr>
                <w:rFonts w:ascii="Times New Roman" w:hAnsi="Times New Roman" w:eastAsia="方正仿宋_GBK"/>
                <w:color w:val="auto"/>
                <w:kern w:val="0"/>
                <w:highlight w:val="none"/>
              </w:rPr>
              <w:t>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8.5‰</w:t>
            </w:r>
            <w:r>
              <w:rPr>
                <w:rFonts w:ascii="Times New Roman" w:hAnsi="Times New Roman" w:eastAsia="方正仿宋_GBK"/>
                <w:color w:val="auto"/>
                <w:kern w:val="0"/>
                <w:highlight w:val="none"/>
              </w:rPr>
              <w:t>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的罚款，对法定代表人、主要负责人、直接负责的主管人员和其他责任人员处对单位罚款数额</w:t>
            </w:r>
            <w:r>
              <w:rPr>
                <w:rFonts w:ascii="Times New Roman" w:hAnsi="Times New Roman" w:eastAsia="方正仿宋_GBK"/>
                <w:color w:val="auto"/>
                <w:kern w:val="0"/>
                <w:highlight w:val="none"/>
                <w:lang w:val="en-US"/>
              </w:rPr>
              <w:t>6.5</w:t>
            </w:r>
            <w:r>
              <w:rPr>
                <w:rFonts w:ascii="Times New Roman" w:hAnsi="Times New Roman" w:eastAsia="方正仿宋_GBK"/>
                <w:color w:val="auto"/>
                <w:kern w:val="0"/>
                <w:highlight w:val="none"/>
              </w:rPr>
              <w:t>％以上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8.5</w:t>
            </w:r>
            <w:r>
              <w:rPr>
                <w:rFonts w:ascii="Times New Roman" w:hAnsi="Times New Roman" w:eastAsia="方正仿宋_GBK"/>
                <w:color w:val="auto"/>
                <w:kern w:val="0"/>
                <w:highlight w:val="none"/>
              </w:rPr>
              <w:t>％以下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530"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414"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775"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3815"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rPr>
              <w:t>中标无效，处中标项目金额</w:t>
            </w:r>
            <w:r>
              <w:rPr>
                <w:rFonts w:ascii="Times New Roman" w:hAnsi="Times New Roman" w:eastAsia="方正仿宋_GBK"/>
                <w:color w:val="auto"/>
                <w:kern w:val="0"/>
                <w:highlight w:val="none"/>
                <w:lang w:val="en-US"/>
              </w:rPr>
              <w:t>8.5‰</w:t>
            </w:r>
            <w:r>
              <w:rPr>
                <w:rFonts w:ascii="Times New Roman" w:hAnsi="Times New Roman" w:eastAsia="方正仿宋_GBK"/>
                <w:color w:val="auto"/>
                <w:kern w:val="0"/>
                <w:highlight w:val="none"/>
              </w:rPr>
              <w:t>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10‰</w:t>
            </w:r>
            <w:r>
              <w:rPr>
                <w:rFonts w:ascii="Times New Roman" w:hAnsi="Times New Roman" w:eastAsia="方正仿宋_GBK"/>
                <w:color w:val="auto"/>
                <w:kern w:val="0"/>
                <w:highlight w:val="none"/>
              </w:rPr>
              <w:t>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的罚款，对法定代表人、主要负责人、直接负责的主管人员和其他责任人员处对单位罚款数额</w:t>
            </w:r>
            <w:r>
              <w:rPr>
                <w:rFonts w:ascii="Times New Roman" w:hAnsi="Times New Roman" w:eastAsia="方正仿宋_GBK"/>
                <w:color w:val="auto"/>
                <w:kern w:val="0"/>
                <w:highlight w:val="none"/>
                <w:lang w:val="en-US"/>
              </w:rPr>
              <w:t>8.5</w:t>
            </w:r>
            <w:r>
              <w:rPr>
                <w:rFonts w:ascii="Times New Roman" w:hAnsi="Times New Roman" w:eastAsia="方正仿宋_GBK"/>
                <w:color w:val="auto"/>
                <w:kern w:val="0"/>
                <w:highlight w:val="none"/>
              </w:rPr>
              <w:t>％以上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10</w:t>
            </w:r>
            <w:r>
              <w:rPr>
                <w:rFonts w:ascii="Times New Roman" w:hAnsi="Times New Roman" w:eastAsia="方正仿宋_GBK"/>
                <w:color w:val="auto"/>
                <w:kern w:val="0"/>
                <w:highlight w:val="none"/>
              </w:rPr>
              <w:t>％以下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的罚款。情节严重的，取消其二年至五年内参加药品采购投标的资格并予以公告</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0" w:hRule="atLeast"/>
          <w:jc w:val="center"/>
        </w:trPr>
        <w:tc>
          <w:tcPr>
            <w:tcW w:w="672" w:type="dxa"/>
            <w:noWrap w:val="0"/>
            <w:vAlign w:val="center"/>
          </w:tcPr>
          <w:p>
            <w:pPr>
              <w:spacing w:line="360" w:lineRule="exact"/>
              <w:jc w:val="center"/>
              <w:rPr>
                <w:rFonts w:hint="eastAsia" w:ascii="Times New Roman" w:hAnsi="Times New Roman" w:eastAsia="方正仿宋_GBK"/>
                <w:color w:val="auto"/>
                <w:highlight w:val="none"/>
                <w:lang w:val="en-US" w:eastAsia="zh-CN"/>
              </w:rPr>
            </w:pPr>
            <w:r>
              <w:rPr>
                <w:rFonts w:hint="eastAsia" w:ascii="Times New Roman" w:hAnsi="Times New Roman" w:eastAsia="方正仿宋_GBK"/>
                <w:color w:val="auto"/>
                <w:highlight w:val="none"/>
                <w:lang w:val="en-US" w:eastAsia="zh-CN"/>
              </w:rPr>
              <w:t>13</w:t>
            </w:r>
          </w:p>
        </w:tc>
        <w:tc>
          <w:tcPr>
            <w:tcW w:w="1672" w:type="dxa"/>
            <w:gridSpan w:val="2"/>
            <w:noWrap w:val="0"/>
            <w:vAlign w:val="center"/>
          </w:tcPr>
          <w:p>
            <w:pPr>
              <w:spacing w:line="360" w:lineRule="exact"/>
              <w:rPr>
                <w:rFonts w:ascii="Times New Roman" w:hAnsi="Times New Roman" w:eastAsia="方正仿宋_GBK"/>
                <w:color w:val="auto"/>
                <w:kern w:val="0"/>
                <w:highlight w:val="none"/>
              </w:rPr>
            </w:pPr>
            <w:r>
              <w:rPr>
                <w:rFonts w:hint="default" w:ascii="Times New Roman" w:hAnsi="Times New Roman" w:eastAsia="方正仿宋_GBK" w:cs="Times New Roman"/>
                <w:color w:val="auto"/>
                <w:kern w:val="0"/>
                <w:sz w:val="21"/>
                <w:szCs w:val="22"/>
                <w:highlight w:val="none"/>
                <w:vertAlign w:val="baseline"/>
                <w:lang w:val="en-US" w:eastAsia="zh-CN"/>
              </w:rPr>
              <w:t>对可能被转移、隐匿或者灭失的医疗保险基金相关资料</w:t>
            </w:r>
          </w:p>
        </w:tc>
        <w:tc>
          <w:tcPr>
            <w:tcW w:w="5410" w:type="dxa"/>
            <w:noWrap w:val="0"/>
            <w:vAlign w:val="center"/>
          </w:tcPr>
          <w:p>
            <w:pPr>
              <w:spacing w:line="360" w:lineRule="exact"/>
              <w:ind w:firstLine="0" w:firstLineChars="0"/>
              <w:rPr>
                <w:rFonts w:ascii="Times New Roman" w:hAnsi="Times New Roman" w:eastAsia="方正仿宋_GBK"/>
                <w:color w:val="auto"/>
                <w:kern w:val="0"/>
                <w:highlight w:val="none"/>
              </w:rPr>
            </w:pPr>
            <w:r>
              <w:rPr>
                <w:rFonts w:ascii="Times New Roman" w:hAnsi="Times New Roman" w:eastAsia="方正仿宋_GBK" w:cs="Times New Roman"/>
                <w:b/>
                <w:bCs/>
                <w:i w:val="0"/>
                <w:iCs w:val="0"/>
                <w:caps w:val="0"/>
                <w:color w:val="auto"/>
                <w:spacing w:val="0"/>
                <w:kern w:val="0"/>
                <w:sz w:val="21"/>
                <w:szCs w:val="22"/>
                <w:highlight w:val="none"/>
                <w:shd w:val="clear" w:color="auto" w:fill="auto"/>
              </w:rPr>
              <w:t>《中华人民共和国社会保险法》第七十九条</w:t>
            </w:r>
            <w:r>
              <w:rPr>
                <w:rFonts w:ascii="Times New Roman" w:hAnsi="Times New Roman" w:eastAsia="方正仿宋_GBK" w:cs="Times New Roman"/>
                <w:i w:val="0"/>
                <w:iCs w:val="0"/>
                <w:caps w:val="0"/>
                <w:color w:val="auto"/>
                <w:spacing w:val="0"/>
                <w:kern w:val="0"/>
                <w:sz w:val="21"/>
                <w:szCs w:val="22"/>
                <w:highlight w:val="none"/>
                <w:shd w:val="clear" w:color="auto" w:fill="auto"/>
              </w:rPr>
              <w:t xml:space="preserve"> 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p>
            <w:pPr>
              <w:spacing w:line="360" w:lineRule="exact"/>
              <w:ind w:firstLine="0" w:firstLineChars="0"/>
              <w:rPr>
                <w:color w:val="auto"/>
                <w:lang w:val="en-US"/>
              </w:rPr>
            </w:pPr>
            <w:r>
              <w:rPr>
                <w:rFonts w:ascii="Times New Roman" w:hAnsi="Times New Roman" w:eastAsia="方正仿宋_GBK" w:cs="Times New Roman"/>
                <w:b/>
                <w:bCs/>
                <w:i w:val="0"/>
                <w:iCs w:val="0"/>
                <w:caps w:val="0"/>
                <w:color w:val="auto"/>
                <w:spacing w:val="0"/>
                <w:kern w:val="0"/>
                <w:sz w:val="21"/>
                <w:szCs w:val="22"/>
                <w:highlight w:val="none"/>
                <w:shd w:val="clear" w:color="auto" w:fill="FFFFFF"/>
              </w:rPr>
              <w:t>《医疗保障基金使用监督管理条例》第二十七条</w:t>
            </w:r>
            <w:r>
              <w:rPr>
                <w:rFonts w:hint="eastAsia" w:ascii="Times New Roman" w:hAnsi="Times New Roman" w:eastAsia="方正仿宋_GBK" w:cs="Times New Roman"/>
                <w:b/>
                <w:bCs/>
                <w:i w:val="0"/>
                <w:iCs w:val="0"/>
                <w:caps w:val="0"/>
                <w:color w:val="auto"/>
                <w:spacing w:val="0"/>
                <w:kern w:val="0"/>
                <w:sz w:val="21"/>
                <w:szCs w:val="22"/>
                <w:highlight w:val="none"/>
                <w:shd w:val="clear" w:color="auto" w:fill="auto"/>
                <w:lang w:val="en-US" w:eastAsia="zh-CN"/>
              </w:rPr>
              <w:t xml:space="preserve"> </w:t>
            </w:r>
            <w:r>
              <w:rPr>
                <w:rFonts w:ascii="Times New Roman" w:hAnsi="Times New Roman" w:eastAsia="方正仿宋_GBK" w:cs="Times New Roman"/>
                <w:i w:val="0"/>
                <w:iCs w:val="0"/>
                <w:caps w:val="0"/>
                <w:color w:val="auto"/>
                <w:spacing w:val="0"/>
                <w:kern w:val="0"/>
                <w:sz w:val="21"/>
                <w:szCs w:val="22"/>
                <w:highlight w:val="none"/>
                <w:shd w:val="clear" w:color="auto" w:fill="FFFFFF"/>
              </w:rPr>
              <w:t>医疗保障行政部门实施监督检查，可以采取下列措施：</w:t>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br w:type="textWrapping"/>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t>（一）进入现场检查；</w:t>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br w:type="textWrapping"/>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t>（二）询问有关人员；</w:t>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br w:type="textWrapping"/>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t>（三）要求被检查对象提供与检查事项相关的文件资料，并作出解释和说明；</w:t>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br w:type="textWrapping"/>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t>（四）采取记录、录音、录像、照相或者复制等方式收集有关情况和资料；</w:t>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br w:type="textWrapping"/>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t>（五）对可能被转移、隐匿或者灭失的资料等予以封存；</w:t>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br w:type="textWrapping"/>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t>（六）聘请符合条件的会计师事务所等第三方机构和专业人员协助开展检查；</w:t>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br w:type="textWrapping"/>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t>（七）法律、法规规定的其他措施。</w:t>
            </w:r>
          </w:p>
        </w:tc>
        <w:tc>
          <w:tcPr>
            <w:tcW w:w="2775" w:type="dxa"/>
            <w:noWrap w:val="0"/>
            <w:vAlign w:val="center"/>
          </w:tcPr>
          <w:p>
            <w:pPr>
              <w:spacing w:line="360" w:lineRule="exact"/>
              <w:jc w:val="center"/>
              <w:rPr>
                <w:rFonts w:ascii="Times New Roman" w:hAnsi="Times New Roman" w:eastAsia="方正仿宋_GBK"/>
                <w:b/>
                <w:bCs/>
                <w:color w:val="auto"/>
                <w:kern w:val="0"/>
                <w:highlight w:val="none"/>
                <w:lang w:val="en-US"/>
              </w:rPr>
            </w:pPr>
            <w:r>
              <w:rPr>
                <w:rFonts w:hint="eastAsia" w:ascii="Times New Roman" w:hAnsi="Times New Roman" w:eastAsia="方正仿宋_GBK"/>
                <w:b/>
                <w:bCs/>
                <w:color w:val="auto"/>
                <w:kern w:val="0"/>
                <w:highlight w:val="none"/>
                <w:lang w:val="en-US" w:eastAsia="zh-CN"/>
              </w:rPr>
              <w:t>免予行政强制</w:t>
            </w:r>
            <w:r>
              <w:rPr>
                <w:rFonts w:hint="eastAsia" w:ascii="Times New Roman" w:hAnsi="Times New Roman" w:eastAsia="方正仿宋_GBK"/>
                <w:b/>
                <w:bCs/>
                <w:color w:val="auto"/>
                <w:kern w:val="0"/>
                <w:highlight w:val="none"/>
                <w:lang w:eastAsia="zh-CN"/>
              </w:rPr>
              <w:t>情形：</w:t>
            </w:r>
            <w:r>
              <w:rPr>
                <w:rFonts w:hint="eastAsia" w:ascii="Times New Roman" w:hAnsi="Times New Roman" w:eastAsia="方正仿宋_GBK"/>
                <w:color w:val="auto"/>
                <w:kern w:val="0"/>
                <w:highlight w:val="none"/>
                <w:lang w:eastAsia="zh-CN"/>
              </w:rPr>
              <w:t>《基准规则》第六条、</w:t>
            </w:r>
            <w:r>
              <w:rPr>
                <w:rFonts w:hint="eastAsia" w:ascii="Times New Roman" w:hAnsi="Times New Roman" w:eastAsia="方正仿宋_GBK"/>
                <w:color w:val="auto"/>
                <w:kern w:val="0"/>
                <w:highlight w:val="none"/>
                <w:lang w:val="en-US" w:eastAsia="zh-CN"/>
              </w:rPr>
              <w:t>第七条、第八条</w:t>
            </w:r>
            <w:r>
              <w:rPr>
                <w:rFonts w:hint="eastAsia" w:ascii="Times New Roman" w:hAnsi="Times New Roman" w:eastAsia="方正仿宋_GBK"/>
                <w:color w:val="auto"/>
                <w:kern w:val="0"/>
                <w:highlight w:val="none"/>
                <w:lang w:eastAsia="zh-CN"/>
              </w:rPr>
              <w:t>规定。</w:t>
            </w:r>
          </w:p>
        </w:tc>
        <w:tc>
          <w:tcPr>
            <w:tcW w:w="3815" w:type="dxa"/>
            <w:noWrap w:val="0"/>
            <w:vAlign w:val="center"/>
          </w:tcPr>
          <w:p>
            <w:pPr>
              <w:spacing w:line="360" w:lineRule="exact"/>
              <w:rPr>
                <w:rFonts w:ascii="Times New Roman" w:hAnsi="Times New Roman" w:eastAsia="方正仿宋_GBK"/>
                <w:b/>
                <w:bCs/>
                <w:color w:val="auto"/>
                <w:kern w:val="0"/>
                <w:highlight w:val="none"/>
                <w:lang w:val="en-US"/>
              </w:rPr>
            </w:pPr>
            <w:r>
              <w:rPr>
                <w:rFonts w:ascii="Times New Roman" w:hAnsi="Times New Roman" w:eastAsia="方正仿宋_GBK"/>
                <w:color w:val="auto"/>
                <w:kern w:val="0"/>
                <w:highlight w:val="none"/>
                <w:shd w:val="clear" w:color="auto" w:fill="FFFFFF"/>
                <w:lang w:val="en-US"/>
              </w:rPr>
              <w:t>不划分裁量阶次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0" w:hRule="atLeast"/>
          <w:jc w:val="center"/>
        </w:trPr>
        <w:tc>
          <w:tcPr>
            <w:tcW w:w="672" w:type="dxa"/>
            <w:noWrap w:val="0"/>
            <w:vAlign w:val="center"/>
          </w:tcPr>
          <w:p>
            <w:pPr>
              <w:spacing w:line="360" w:lineRule="exact"/>
              <w:jc w:val="center"/>
              <w:rPr>
                <w:rFonts w:hint="default" w:ascii="Times New Roman" w:hAnsi="Times New Roman" w:eastAsia="方正仿宋_GBK"/>
                <w:color w:val="auto"/>
                <w:highlight w:val="none"/>
                <w:lang w:val="en-US" w:eastAsia="zh-CN"/>
              </w:rPr>
            </w:pPr>
            <w:r>
              <w:rPr>
                <w:rFonts w:hint="eastAsia" w:ascii="Times New Roman" w:hAnsi="Times New Roman" w:eastAsia="方正仿宋_GBK"/>
                <w:color w:val="auto"/>
                <w:highlight w:val="none"/>
                <w:lang w:val="en-US" w:eastAsia="zh-CN"/>
              </w:rPr>
              <w:t>14</w:t>
            </w:r>
          </w:p>
        </w:tc>
        <w:tc>
          <w:tcPr>
            <w:tcW w:w="13672" w:type="dxa"/>
            <w:gridSpan w:val="5"/>
            <w:noWrap w:val="0"/>
            <w:vAlign w:val="center"/>
          </w:tcPr>
          <w:p>
            <w:pPr>
              <w:spacing w:line="360" w:lineRule="exact"/>
              <w:rPr>
                <w:rFonts w:ascii="Times New Roman" w:hAnsi="Times New Roman" w:eastAsia="方正仿宋_GBK" w:cs="Times New Roman"/>
                <w:color w:val="auto"/>
                <w:kern w:val="0"/>
                <w:sz w:val="21"/>
                <w:szCs w:val="22"/>
                <w:highlight w:val="none"/>
                <w:lang w:val="en-US" w:eastAsia="zh-CN" w:bidi="ar-SA"/>
              </w:rPr>
            </w:pPr>
            <w:r>
              <w:rPr>
                <w:rFonts w:ascii="Times New Roman" w:hAnsi="Times New Roman" w:eastAsia="方正仿宋_GBK"/>
                <w:b/>
                <w:bCs/>
                <w:color w:val="auto"/>
                <w:kern w:val="0"/>
                <w:highlight w:val="none"/>
                <w:lang w:val="en-US"/>
              </w:rPr>
              <w:t>减轻行政处罚</w:t>
            </w:r>
            <w:r>
              <w:rPr>
                <w:rFonts w:hint="eastAsia" w:ascii="Times New Roman" w:hAnsi="Times New Roman" w:eastAsia="方正仿宋_GBK"/>
                <w:b/>
                <w:bCs/>
                <w:color w:val="auto"/>
                <w:kern w:val="0"/>
                <w:highlight w:val="none"/>
                <w:lang w:val="en-US" w:eastAsia="zh-CN"/>
              </w:rPr>
              <w:t>：</w:t>
            </w:r>
            <w:r>
              <w:rPr>
                <w:rFonts w:hint="eastAsia" w:ascii="Times New Roman" w:hAnsi="Times New Roman" w:eastAsia="方正仿宋_GBK"/>
                <w:color w:val="auto"/>
                <w:kern w:val="0"/>
                <w:highlight w:val="none"/>
                <w:lang w:val="en-US"/>
              </w:rPr>
              <w:t>依法</w:t>
            </w:r>
            <w:r>
              <w:rPr>
                <w:rFonts w:ascii="Times New Roman" w:hAnsi="Times New Roman" w:eastAsia="方正仿宋_GBK"/>
                <w:color w:val="auto"/>
                <w:kern w:val="0"/>
                <w:highlight w:val="none"/>
                <w:lang w:val="en-US"/>
              </w:rPr>
              <w:t>在</w:t>
            </w:r>
            <w:r>
              <w:rPr>
                <w:rFonts w:hint="eastAsia" w:ascii="Times New Roman" w:hAnsi="Times New Roman" w:eastAsia="方正仿宋_GBK"/>
                <w:color w:val="auto"/>
                <w:kern w:val="0"/>
                <w:highlight w:val="none"/>
                <w:lang w:val="en-US"/>
              </w:rPr>
              <w:t>法定行政处罚的最低限度以下作出处罚</w:t>
            </w:r>
            <w:r>
              <w:rPr>
                <w:rFonts w:ascii="Times New Roman" w:hAnsi="Times New Roman" w:eastAsia="方正仿宋_GBK"/>
                <w:color w:val="auto"/>
                <w:kern w:val="0"/>
                <w:highlight w:val="none"/>
                <w:lang w:val="en-US"/>
              </w:rPr>
              <w:t>，可减少法定处罚种类。</w:t>
            </w:r>
          </w:p>
        </w:tc>
      </w:tr>
    </w:tbl>
    <w:p>
      <w:pPr>
        <w:rPr>
          <w:color w:val="auto"/>
        </w:rPr>
      </w:pPr>
    </w:p>
    <w:p>
      <w:bookmarkStart w:id="0" w:name="_GoBack"/>
      <w:bookmarkEnd w:id="0"/>
    </w:p>
    <w:sectPr>
      <w:headerReference r:id="rId5" w:type="default"/>
      <w:footerReference r:id="rId6" w:type="default"/>
      <w:footnotePr>
        <w:numRestart w:val="eachPage"/>
      </w:footnotePr>
      <w:pgSz w:w="16840" w:h="11900" w:orient="landscape"/>
      <w:pgMar w:top="1803" w:right="1440" w:bottom="1803"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0"/>
        <w:lang w:val="en-US"/>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31850" cy="4705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31850" cy="470535"/>
                      </a:xfrm>
                      <a:prstGeom prst="rect">
                        <a:avLst/>
                      </a:prstGeom>
                      <a:noFill/>
                      <a:ln w="9525">
                        <a:noFill/>
                      </a:ln>
                      <a:effectLst/>
                    </wps:spPr>
                    <wps:txbx>
                      <w:txbxContent>
                        <w:p>
                          <w:pPr>
                            <w:pStyle w:val="4"/>
                            <w:rPr>
                              <w:rFonts w:hint="eastAsia" w:eastAsia="等线"/>
                              <w:lang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PAGE  \* MERGEFORMAT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 xml:space="preserve"> —</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37.05pt;width:65.5pt;mso-position-horizontal:outside;mso-position-horizontal-relative:margin;z-index:251660288;mso-width-relative:page;mso-height-relative:page;" filled="f" stroked="f" coordsize="21600,21600" o:gfxdata="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1zIwLTAAAABAEAAA8AAAAAAAAA&#10;AQAgAAAAIgAAAGRycy9kb3ducmV2LnhtbFBLAQIUABQAAAAIAIdO4kDx74T73QEAALADAAAOAAAA&#10;AAAAAAEAIAAAACIBAABkcnMvZTJvRG9jLnhtbFBLBQYAAAAABgAGAFkBAABxBQAAAAA=&#10;">
              <v:path/>
              <v:fill on="f" focussize="0,0"/>
              <v:stroke on="f"/>
              <v:imagedata o:title=""/>
              <o:lock v:ext="edit" aspectratio="f"/>
              <v:textbox inset="0mm,0mm,0mm,0mm">
                <w:txbxContent>
                  <w:p>
                    <w:pPr>
                      <w:pStyle w:val="4"/>
                      <w:rPr>
                        <w:rFonts w:hint="eastAsia" w:eastAsia="等线"/>
                        <w:lang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PAGE  \* MERGEFORMAT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PAGE  \* MERGEFORMAT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PAGE  \* MERGEFORMAT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6"/>
        <w:rPr>
          <w:rFonts w:hint="eastAsia"/>
        </w:rPr>
      </w:pPr>
      <w:r>
        <w:rPr>
          <w:rStyle w:val="10"/>
          <w:rFonts w:hint="eastAsia" w:ascii="宋体" w:hAnsi="宋体" w:eastAsia="宋体" w:cs="宋体"/>
          <w:szCs w:val="24"/>
        </w:rPr>
        <w:footnoteRef/>
      </w:r>
      <w:r>
        <w:rPr>
          <w:rFonts w:hint="eastAsia"/>
        </w:rPr>
        <w:t xml:space="preserve"> </w:t>
      </w:r>
      <w:r>
        <w:rPr>
          <w:rFonts w:hint="default"/>
        </w:rPr>
        <w:t>就本条中所列</w:t>
      </w:r>
      <w:r>
        <w:rPr>
          <w:rFonts w:hint="eastAsia"/>
          <w:lang w:eastAsia="zh-CN"/>
        </w:rPr>
        <w:t>“</w:t>
      </w:r>
      <w:r>
        <w:rPr>
          <w:rFonts w:hint="default"/>
        </w:rPr>
        <w:t>对直接负责的主管人员和其他直接责任人员依法给予处分</w:t>
      </w:r>
      <w:r>
        <w:rPr>
          <w:rFonts w:hint="eastAsia"/>
          <w:lang w:eastAsia="zh-CN"/>
        </w:rPr>
        <w:t>”</w:t>
      </w:r>
      <w:r>
        <w:rPr>
          <w:rFonts w:hint="default"/>
        </w:rPr>
        <w:t>的处理，由作出行政处罚的机关在作出行政处罚后将相关线索按照程序及时移送纪检监察部门。</w:t>
      </w:r>
    </w:p>
  </w:footnote>
  <w:footnote w:id="1">
    <w:p>
      <w:pPr>
        <w:pStyle w:val="6"/>
        <w:rPr>
          <w:rFonts w:hint="default"/>
        </w:rPr>
      </w:pPr>
      <w:r>
        <w:rPr>
          <w:rStyle w:val="10"/>
          <w:rFonts w:hint="eastAsia" w:ascii="宋体" w:hAnsi="宋体" w:eastAsia="宋体" w:cs="宋体"/>
          <w:szCs w:val="24"/>
        </w:rPr>
        <w:footnoteRef/>
      </w:r>
      <w:r>
        <w:rPr>
          <w:rFonts w:hint="default"/>
        </w:rPr>
        <w:t xml:space="preserve"> 就本条中所列</w:t>
      </w:r>
      <w:r>
        <w:rPr>
          <w:rFonts w:hint="eastAsia"/>
          <w:lang w:eastAsia="zh-CN"/>
        </w:rPr>
        <w:t>“</w:t>
      </w:r>
      <w:r>
        <w:rPr>
          <w:rFonts w:hint="default"/>
        </w:rPr>
        <w:t>对直接负责的主管人员和其他直接责任人员依法给予处分</w:t>
      </w:r>
      <w:r>
        <w:rPr>
          <w:rFonts w:hint="eastAsia"/>
          <w:lang w:eastAsia="zh-CN"/>
        </w:rPr>
        <w:t>”</w:t>
      </w:r>
      <w:r>
        <w:rPr>
          <w:rFonts w:hint="default"/>
        </w:rPr>
        <w:t>的处理，由作出行政处罚的机关在作出行政处罚后将相关线索按照程序及时移送纪检监察部门。</w:t>
      </w:r>
    </w:p>
  </w:footnote>
  <w:footnote w:id="2">
    <w:p>
      <w:pPr>
        <w:pStyle w:val="6"/>
      </w:pPr>
      <w:r>
        <w:rPr>
          <w:rStyle w:val="10"/>
        </w:rPr>
        <w:footnoteRef/>
      </w:r>
      <w:r>
        <w:t xml:space="preserve"> 就本条中所列“对直接负责的主管人员和其他直接责任人员依法给予处分”的处理，由作出行政处罚的机关在作出行政处罚后将相关线索按照程序及时移送纪检监察部门。</w:t>
      </w:r>
    </w:p>
  </w:footnote>
  <w:footnote w:id="3">
    <w:p>
      <w:pPr>
        <w:pStyle w:val="6"/>
        <w:rPr>
          <w:lang w:val="en-US"/>
        </w:rPr>
      </w:pPr>
      <w:r>
        <w:rPr>
          <w:rStyle w:val="10"/>
        </w:rPr>
        <w:footnoteRef/>
      </w:r>
      <w:r>
        <w:t xml:space="preserve"> 就本条中所列</w:t>
      </w:r>
      <w:r>
        <w:rPr>
          <w:rFonts w:hint="eastAsia"/>
        </w:rPr>
        <w:t>“直至由医疗保障经办机构解除服务协议”的处理，</w:t>
      </w:r>
      <w:r>
        <w:rPr>
          <w:rFonts w:hint="eastAsia"/>
          <w:lang w:val="en-US"/>
        </w:rPr>
        <w:t>由经办机构按协议约定解除服务协议。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D570F"/>
    <w:multiLevelType w:val="singleLevel"/>
    <w:tmpl w:val="BE6D570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MGRmZTE1MDkzM2Y2OWVhMzAyZWM1MGU5NzM2NGQifQ=="/>
  </w:docVars>
  <w:rsids>
    <w:rsidRoot w:val="35531393"/>
    <w:rsid w:val="3553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Indent"/>
    <w:basedOn w:val="1"/>
    <w:unhideWhenUsed/>
    <w:qFormat/>
    <w:uiPriority w:val="0"/>
    <w:pPr>
      <w:ind w:firstLine="630"/>
    </w:pPr>
    <w:rPr>
      <w:rFonts w:ascii="仿宋_GB2312" w:hAnsi="Calibri" w:eastAsia="仿宋_GB2312" w:cs="Times New Roman"/>
      <w:sz w:val="32"/>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rFonts w:eastAsia="宋体"/>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2022-11-17T02:22:00Z</dcterms:created>
  <dc:creator>UU</dc:creator>
  <cp:lastModifiedBy>UU</cp:lastModifiedBy>
  <dcterms:modified xsi:type="dcterms:W3CDTF">2022-11-17T02:22:44Z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11B754CB527441AFB4DC60DB8C3A0567</vt:lpwstr>
  </property>
</Properties>
</file>