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村（社区）医疗保障</w:t>
      </w: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eastAsia="zh-CN" w:bidi="ar"/>
        </w:rPr>
        <w:t>经办政务</w:t>
      </w: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服务事项清单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（参选）</w:t>
      </w: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 </w:t>
      </w:r>
    </w:p>
    <w:tbl>
      <w:tblPr>
        <w:tblStyle w:val="6"/>
        <w:tblW w:w="9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城乡居民参保登记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新生儿参保登记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城乡居民参保信息变更登记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参保人员参保信息查询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具《参保凭证》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开具《基本医疗保险参保证明》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异地安置退休人员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异地长期居住人员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常驻异地工作人员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异地转诊人员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异地其他临时外出就医人员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急诊抢救费用报销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普通门诊、慢性病门诊、特殊病门诊、国谈药门诊费用报销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“双通道”、门诊统筹定点零售药店购药费用报销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无第三方责任外伤门诊费用报销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部分第三方责任外伤门诊费用报销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住院费用报销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无第三方责任外伤住院费用报销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部分第三方责任外伤住院费用报销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生育医疗费支付（含产前检查费）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计划生育医疗费用支付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辅助生殖医疗费用补助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医疗救助对象医疗费用医疗救助待遇手工（零星）报销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备注：1.各统筹区结合实际选择不少于7项下沉村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</w:rPr>
        <w:t>（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社区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</w:rPr>
        <w:t>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Times New Roman" w:hAnsi="Times New Roman" w:eastAsia="方正仿宋_GBK"/>
          <w:snapToGrid w:val="0"/>
          <w:color w:val="000000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 xml:space="preserve">      2.手工报销类事项可选择下沉接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初审环节。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644F3AA0"/>
    <w:rsid w:val="644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jc w:val="left"/>
    </w:pPr>
    <w:rPr>
      <w:rFonts w:eastAsia="宋体"/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2023-11-26T02:13:00Z</dcterms:created>
  <dc:creator>勇郎塘说退</dc:creator>
  <cp:lastModifiedBy>勇郎塘说退</cp:lastModifiedBy>
  <dcterms:modified xsi:type="dcterms:W3CDTF">2023-11-26T02:14:08Z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F29D7F9D485B453094B3B66A695F04E1_11</vt:lpwstr>
  </property>
</Properties>
</file>